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t xml:space="preserve">    </w:t>
      </w:r>
    </w:p>
    <w:p>
      <w:pPr>
        <w:pStyle w:val="Virsraksts3"/>
        <w:keepNext w:val="false"/>
        <w:numPr>
          <w:ilvl w:val="2"/>
          <w:numId w:val="2"/>
        </w:numPr>
        <w:tabs>
          <w:tab w:val="clear" w:pos="720"/>
          <w:tab w:val="left" w:pos="5760" w:leader="none"/>
          <w:tab w:val="left" w:pos="11520" w:leader="none"/>
        </w:tabs>
        <w:spacing w:before="0" w:after="0"/>
        <w:ind w:left="2880" w:hanging="0"/>
        <w:jc w:val="right"/>
        <w:rPr>
          <w:sz w:val="24"/>
          <w:szCs w:val="24"/>
        </w:rPr>
      </w:pPr>
      <w:r>
        <w:rPr>
          <w:rFonts w:cs="Times New Roman" w:ascii="Times New Roman" w:hAnsi="Times New Roman"/>
          <w:sz w:val="24"/>
          <w:szCs w:val="24"/>
        </w:rPr>
        <w:t>APSTIPRINĀTS</w:t>
      </w:r>
    </w:p>
    <w:p>
      <w:pPr>
        <w:pStyle w:val="Normal"/>
        <w:numPr>
          <w:ilvl w:val="0"/>
          <w:numId w:val="2"/>
        </w:numPr>
        <w:spacing w:lineRule="auto" w:line="240" w:before="0" w:after="0"/>
        <w:jc w:val="right"/>
        <w:rPr>
          <w:sz w:val="24"/>
          <w:szCs w:val="24"/>
        </w:rPr>
      </w:pPr>
      <w:r>
        <w:rPr>
          <w:rFonts w:cs="Times New Roman" w:ascii="Times New Roman" w:hAnsi="Times New Roman"/>
          <w:sz w:val="24"/>
          <w:szCs w:val="24"/>
        </w:rPr>
        <w:t>Rucavas novada domes Iepirkumu komisijas</w:t>
      </w:r>
    </w:p>
    <w:p>
      <w:pPr>
        <w:pStyle w:val="Normal"/>
        <w:numPr>
          <w:ilvl w:val="0"/>
          <w:numId w:val="2"/>
        </w:numPr>
        <w:tabs>
          <w:tab w:val="clear" w:pos="720"/>
          <w:tab w:val="left" w:pos="288" w:leader="none"/>
          <w:tab w:val="left" w:pos="613" w:leader="none"/>
        </w:tabs>
        <w:spacing w:lineRule="auto" w:line="240" w:before="0" w:after="0"/>
        <w:jc w:val="right"/>
        <w:rPr>
          <w:sz w:val="24"/>
          <w:szCs w:val="24"/>
        </w:rPr>
      </w:pPr>
      <w:r>
        <w:rPr>
          <w:rFonts w:cs="Times New Roman" w:ascii="Times New Roman" w:hAnsi="Times New Roman"/>
          <w:sz w:val="24"/>
          <w:szCs w:val="24"/>
        </w:rPr>
        <w:t>2019.gada 19.jūnija sēdē</w:t>
      </w:r>
    </w:p>
    <w:p>
      <w:pPr>
        <w:pStyle w:val="Normal"/>
        <w:keepNext w:val="false"/>
        <w:numPr>
          <w:ilvl w:val="2"/>
          <w:numId w:val="2"/>
        </w:numPr>
        <w:tabs>
          <w:tab w:val="clear" w:pos="720"/>
          <w:tab w:val="left" w:pos="288" w:leader="none"/>
          <w:tab w:val="left" w:pos="613" w:leader="none"/>
        </w:tabs>
        <w:spacing w:lineRule="auto" w:line="240" w:before="0" w:after="0"/>
        <w:ind w:left="2880" w:hanging="0"/>
        <w:jc w:val="right"/>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Protokols Nr.1 RND 2019/6</w:t>
      </w:r>
    </w:p>
    <w:p>
      <w:pPr>
        <w:pStyle w:val="Virsraksts3"/>
        <w:numPr>
          <w:ilvl w:val="2"/>
          <w:numId w:val="2"/>
        </w:numPr>
        <w:tabs>
          <w:tab w:val="clear" w:pos="720"/>
          <w:tab w:val="left" w:pos="5760" w:leader="none"/>
          <w:tab w:val="left" w:pos="11520" w:leader="none"/>
        </w:tabs>
        <w:spacing w:before="0" w:after="0"/>
        <w:ind w:left="2880" w:hanging="0"/>
        <w:jc w:val="right"/>
        <w:rPr>
          <w:rFonts w:ascii="Times New Roman" w:hAnsi="Times New Roman" w:cs="Times New Roman"/>
          <w:sz w:val="24"/>
          <w:szCs w:val="24"/>
        </w:rPr>
      </w:pPr>
      <w:r>
        <w:rPr>
          <w:rFonts w:cs="Times New Roman" w:ascii="Times New Roman" w:hAnsi="Times New Roman"/>
          <w:sz w:val="24"/>
          <w:szCs w:val="24"/>
        </w:rPr>
      </w:r>
    </w:p>
    <w:p>
      <w:pPr>
        <w:pStyle w:val="Virsraksts3"/>
        <w:numPr>
          <w:ilvl w:val="2"/>
          <w:numId w:val="2"/>
        </w:numPr>
        <w:tabs>
          <w:tab w:val="clear" w:pos="720"/>
          <w:tab w:val="left" w:pos="5760" w:leader="none"/>
          <w:tab w:val="left" w:pos="11520" w:leader="none"/>
        </w:tabs>
        <w:spacing w:before="0" w:after="0"/>
        <w:ind w:left="2880" w:hanging="0"/>
        <w:jc w:val="right"/>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288" w:leader="none"/>
          <w:tab w:val="left" w:pos="613" w:leader="none"/>
        </w:tabs>
        <w:spacing w:lineRule="auto" w:line="240" w:before="0" w:after="0"/>
        <w:jc w:val="right"/>
        <w:rPr>
          <w:rFonts w:ascii="Times New Roman" w:hAnsi="Times New Roman" w:cs="Times New Roman"/>
        </w:rPr>
      </w:pPr>
      <w:r>
        <w:rPr>
          <w:rFonts w:cs="Times New Roman" w:ascii="Times New Roman" w:hAnsi="Times New Roman"/>
        </w:rPr>
      </w:r>
    </w:p>
    <w:p>
      <w:pPr>
        <w:pStyle w:val="Normal"/>
        <w:tabs>
          <w:tab w:val="clear" w:pos="720"/>
          <w:tab w:val="left" w:pos="288" w:leader="none"/>
          <w:tab w:val="left" w:pos="613" w:leader="none"/>
        </w:tabs>
        <w:spacing w:lineRule="auto" w:line="240" w:before="0" w:after="0"/>
        <w:jc w:val="center"/>
        <w:rPr/>
      </w:pPr>
      <w:r>
        <w:rPr>
          <w:rFonts w:cs="Times New Roman" w:ascii="Times New Roman" w:hAnsi="Times New Roman"/>
          <w:sz w:val="32"/>
          <w:szCs w:val="32"/>
        </w:rPr>
        <w:t>RUCAVAS NOVADA DOMES</w:t>
      </w:r>
    </w:p>
    <w:p>
      <w:pPr>
        <w:pStyle w:val="Normal"/>
        <w:tabs>
          <w:tab w:val="clear" w:pos="720"/>
          <w:tab w:val="left" w:pos="288" w:leader="none"/>
          <w:tab w:val="left" w:pos="613" w:leader="none"/>
        </w:tabs>
        <w:spacing w:lineRule="auto" w:line="240" w:before="0" w:after="0"/>
        <w:jc w:val="right"/>
        <w:rPr>
          <w:rFonts w:ascii="Times New Roman" w:hAnsi="Times New Roman" w:cs="Times New Roman"/>
          <w:sz w:val="32"/>
          <w:szCs w:val="32"/>
        </w:rPr>
      </w:pPr>
      <w:r>
        <w:rPr>
          <w:rFonts w:cs="Times New Roman" w:ascii="Times New Roman" w:hAnsi="Times New Roman"/>
          <w:sz w:val="32"/>
          <w:szCs w:val="32"/>
        </w:rPr>
      </w:r>
    </w:p>
    <w:p>
      <w:pPr>
        <w:pStyle w:val="Normal"/>
        <w:shd w:val="clear" w:color="auto" w:fill="FFFFFF"/>
        <w:jc w:val="center"/>
        <w:rPr/>
      </w:pPr>
      <w:r>
        <w:rPr>
          <w:rFonts w:cs="Times New Roman" w:ascii="Times New Roman" w:hAnsi="Times New Roman"/>
          <w:bCs/>
          <w:spacing w:val="-5"/>
          <w:sz w:val="32"/>
          <w:szCs w:val="32"/>
        </w:rPr>
        <w:t>IEPIRKUMS PUBLISKO IEPIRKUMU LIKUMA 9. PANTA KĀRTĪBĀ</w:t>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pPr>
      <w:r>
        <w:rPr>
          <w:rFonts w:cs="Times New Roman" w:ascii="Times New Roman" w:hAnsi="Times New Roman"/>
          <w:b/>
          <w:bCs/>
          <w:sz w:val="32"/>
          <w:szCs w:val="32"/>
        </w:rPr>
        <w:t>"Transporta dīzeļdegvielas vairumtirdzniecība un piegāde Rucavas novada pašvaldības vajadzībām"</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pPr>
      <w:r>
        <w:rPr>
          <w:rFonts w:cs="Times New Roman" w:ascii="Times New Roman" w:hAnsi="Times New Roman"/>
          <w:b w:val="false"/>
          <w:bCs w:val="false"/>
          <w:sz w:val="32"/>
          <w:szCs w:val="32"/>
        </w:rPr>
        <w:t>(IDENTIFIKĀCIJAS NUMURS RND 2019/6)</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pPr>
      <w:r>
        <w:rPr>
          <w:rFonts w:cs="Times New Roman" w:ascii="Times New Roman" w:hAnsi="Times New Roman"/>
          <w:b/>
          <w:sz w:val="32"/>
          <w:szCs w:val="32"/>
        </w:rPr>
        <w:t>NOLIKUMS</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ind w:right="60" w:hanging="0"/>
        <w:jc w:val="center"/>
        <w:rPr>
          <w:sz w:val="24"/>
          <w:szCs w:val="24"/>
        </w:rPr>
      </w:pPr>
      <w:r>
        <w:rPr>
          <w:rFonts w:cs="Times New Roman" w:ascii="Times New Roman" w:hAnsi="Times New Roman"/>
          <w:sz w:val="24"/>
          <w:szCs w:val="24"/>
        </w:rPr>
        <w:t>Rucavas novads</w:t>
      </w:r>
    </w:p>
    <w:p>
      <w:pPr>
        <w:pStyle w:val="Normal"/>
        <w:tabs>
          <w:tab w:val="clear" w:pos="720"/>
          <w:tab w:val="left" w:pos="288" w:leader="none"/>
          <w:tab w:val="left" w:pos="613" w:leader="none"/>
        </w:tabs>
        <w:spacing w:lineRule="auto" w:line="240" w:before="0" w:after="0"/>
        <w:ind w:right="60" w:hanging="0"/>
        <w:jc w:val="center"/>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2019</w:t>
      </w:r>
    </w:p>
    <w:p>
      <w:pPr>
        <w:pStyle w:val="Normal"/>
        <w:tabs>
          <w:tab w:val="clear" w:pos="720"/>
          <w:tab w:val="left" w:pos="288" w:leader="none"/>
          <w:tab w:val="left" w:pos="613" w:leader="none"/>
        </w:tabs>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8" w:leader="none"/>
          <w:tab w:val="left" w:pos="613" w:leader="none"/>
        </w:tabs>
        <w:spacing w:lineRule="auto" w:line="240" w:before="0" w:after="0"/>
        <w:jc w:val="right"/>
        <w:rPr>
          <w:rFonts w:ascii="Times New Roman" w:hAnsi="Times New Roman" w:cs="Times New Roman"/>
        </w:rPr>
      </w:pPr>
      <w:r>
        <w:rPr>
          <w:rFonts w:cs="Times New Roman" w:ascii="Times New Roman" w:hAnsi="Times New Roman"/>
        </w:rPr>
      </w:r>
    </w:p>
    <w:p>
      <w:pPr>
        <w:pStyle w:val="Normal"/>
        <w:tabs>
          <w:tab w:val="clear" w:pos="720"/>
          <w:tab w:val="left" w:pos="288" w:leader="none"/>
          <w:tab w:val="left" w:pos="613" w:leader="none"/>
        </w:tabs>
        <w:spacing w:lineRule="auto" w:line="240" w:before="0" w:after="0"/>
        <w:jc w:val="right"/>
        <w:rPr>
          <w:rFonts w:ascii="Times New Roman" w:hAnsi="Times New Roman" w:cs="Times New Roman"/>
        </w:rPr>
      </w:pPr>
      <w:r>
        <w:rPr>
          <w:rFonts w:cs="Times New Roman" w:ascii="Times New Roman" w:hAnsi="Times New Roman"/>
        </w:rPr>
      </w:r>
    </w:p>
    <w:p>
      <w:pPr>
        <w:pStyle w:val="Normal"/>
        <w:tabs>
          <w:tab w:val="clear" w:pos="720"/>
          <w:tab w:val="left" w:pos="288" w:leader="none"/>
          <w:tab w:val="left" w:pos="613" w:leader="none"/>
        </w:tabs>
        <w:spacing w:lineRule="auto" w:line="240" w:before="0" w:after="0"/>
        <w:jc w:val="right"/>
        <w:rPr>
          <w:rFonts w:ascii="Times New Roman" w:hAnsi="Times New Roman" w:cs="Times New Roman"/>
        </w:rPr>
      </w:pPr>
      <w:r>
        <w:rPr>
          <w:rFonts w:cs="Times New Roman" w:ascii="Times New Roman" w:hAnsi="Times New Roman"/>
        </w:rPr>
      </w:r>
    </w:p>
    <w:p>
      <w:pPr>
        <w:pStyle w:val="Normal"/>
        <w:tabs>
          <w:tab w:val="clear" w:pos="720"/>
          <w:tab w:val="left" w:pos="288" w:leader="none"/>
          <w:tab w:val="left" w:pos="613" w:leader="none"/>
        </w:tabs>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rPr>
        <w:t>1. SADAĻA</w:t>
      </w:r>
    </w:p>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rPr>
        <w:t>INFORMĀCIJA PAR IEPIRKUMU</w:t>
      </w:r>
    </w:p>
    <w:p>
      <w:pPr>
        <w:pStyle w:val="Paragrfs"/>
        <w:numPr>
          <w:ilvl w:val="0"/>
          <w:numId w:val="0"/>
        </w:numPr>
        <w:ind w:left="360" w:hanging="0"/>
        <w:jc w:val="center"/>
        <w:rPr>
          <w:rFonts w:ascii="Times New Roman" w:hAnsi="Times New Roman"/>
          <w:b/>
          <w:b/>
          <w:sz w:val="24"/>
        </w:rPr>
      </w:pPr>
      <w:r>
        <w:rPr>
          <w:rFonts w:cs="Arial" w:ascii="Times New Roman" w:hAnsi="Times New Roman"/>
          <w:color w:val="4C4C4C"/>
          <w:sz w:val="24"/>
          <w:szCs w:val="24"/>
          <w:shd w:fill="EAF5FA" w:val="clear"/>
        </w:rPr>
        <w:t xml:space="preserve"> </w:t>
      </w:r>
    </w:p>
    <w:tbl>
      <w:tblPr>
        <w:tblW w:w="928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287"/>
      </w:tblGrid>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4"/>
              </w:numPr>
              <w:spacing w:lineRule="auto" w:line="240" w:before="0" w:after="0"/>
              <w:contextualSpacing/>
              <w:rPr>
                <w:rFonts w:ascii="Times New Roman" w:hAnsi="Times New Roman"/>
                <w:sz w:val="24"/>
                <w:szCs w:val="24"/>
              </w:rPr>
            </w:pPr>
            <w:r>
              <w:rPr>
                <w:rFonts w:eastAsia="Calibri" w:cs="Times New Roman" w:ascii="Times New Roman" w:hAnsi="Times New Roman"/>
                <w:b/>
                <w:sz w:val="24"/>
                <w:szCs w:val="24"/>
              </w:rPr>
              <w:t>Pasūtītājs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84" w:leader="none"/>
                <w:tab w:val="left" w:pos="709" w:leader="none"/>
                <w:tab w:val="left" w:pos="1560" w:leader="none"/>
              </w:tabs>
              <w:spacing w:lineRule="auto" w:line="240" w:before="0" w:after="0"/>
              <w:ind w:left="567" w:right="0" w:hanging="567"/>
              <w:jc w:val="both"/>
              <w:rPr>
                <w:rFonts w:ascii="Times New Roman" w:hAnsi="Times New Roman"/>
                <w:sz w:val="24"/>
                <w:szCs w:val="24"/>
              </w:rPr>
            </w:pPr>
            <w:r>
              <w:rPr>
                <w:rFonts w:eastAsia="Calibri" w:cs="Times New Roman" w:ascii="Times New Roman" w:hAnsi="Times New Roman"/>
                <w:sz w:val="24"/>
                <w:szCs w:val="24"/>
              </w:rPr>
              <w:t>Rucavas novada dome</w:t>
            </w:r>
          </w:p>
          <w:p>
            <w:pPr>
              <w:pStyle w:val="Normal"/>
              <w:tabs>
                <w:tab w:val="clear" w:pos="720"/>
                <w:tab w:val="left" w:pos="284" w:leader="none"/>
                <w:tab w:val="left" w:pos="709" w:leader="none"/>
                <w:tab w:val="left" w:pos="1560" w:leader="none"/>
              </w:tabs>
              <w:spacing w:lineRule="auto" w:line="240" w:before="0" w:after="0"/>
              <w:ind w:left="567" w:right="0" w:hanging="567"/>
              <w:jc w:val="both"/>
              <w:rPr>
                <w:rFonts w:ascii="Times New Roman" w:hAnsi="Times New Roman"/>
                <w:sz w:val="24"/>
                <w:szCs w:val="24"/>
              </w:rPr>
            </w:pPr>
            <w:r>
              <w:rPr>
                <w:rFonts w:eastAsia="Calibri" w:cs="Times New Roman" w:ascii="Times New Roman" w:hAnsi="Times New Roman"/>
                <w:sz w:val="24"/>
                <w:szCs w:val="24"/>
              </w:rPr>
              <w:t>Reģistrācijas Nr. 90000059230</w:t>
            </w:r>
          </w:p>
          <w:p>
            <w:pPr>
              <w:pStyle w:val="Normal"/>
              <w:tabs>
                <w:tab w:val="clear" w:pos="720"/>
                <w:tab w:val="left" w:pos="284" w:leader="none"/>
                <w:tab w:val="left" w:pos="709" w:leader="none"/>
                <w:tab w:val="left" w:pos="1560" w:leader="none"/>
              </w:tabs>
              <w:spacing w:lineRule="auto" w:line="240" w:before="0" w:after="0"/>
              <w:ind w:left="567" w:right="0" w:hanging="567"/>
              <w:jc w:val="both"/>
              <w:rPr>
                <w:rFonts w:ascii="Times New Roman" w:hAnsi="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Pagastmāja”, Rucava, Rucavas pagasts, Rucavas novads, LV-3477</w:t>
            </w:r>
          </w:p>
          <w:p>
            <w:pPr>
              <w:pStyle w:val="Normal"/>
              <w:tabs>
                <w:tab w:val="clear" w:pos="720"/>
                <w:tab w:val="left" w:pos="284" w:leader="none"/>
                <w:tab w:val="left" w:pos="709" w:leader="none"/>
                <w:tab w:val="left" w:pos="1560" w:leader="none"/>
              </w:tabs>
              <w:spacing w:lineRule="auto" w:line="240" w:before="0" w:after="0"/>
              <w:ind w:left="567" w:right="0" w:hanging="567"/>
              <w:jc w:val="both"/>
              <w:rPr>
                <w:rFonts w:ascii="Times New Roman" w:hAnsi="Times New Roman"/>
                <w:sz w:val="24"/>
                <w:szCs w:val="24"/>
              </w:rPr>
            </w:pPr>
            <w:r>
              <w:rPr>
                <w:rFonts w:cs="Times New Roman" w:ascii="Times New Roman" w:hAnsi="Times New Roman"/>
                <w:color w:val="000000"/>
                <w:sz w:val="24"/>
                <w:szCs w:val="24"/>
              </w:rPr>
              <w:t>Tālruņa numurs:</w:t>
            </w:r>
            <w:r>
              <w:rPr>
                <w:rFonts w:cs="Times New Roman" w:ascii="Times New Roman" w:hAnsi="Times New Roman"/>
                <w:sz w:val="24"/>
                <w:szCs w:val="24"/>
                <w:shd w:fill="FFFFFF" w:val="clear"/>
              </w:rPr>
              <w:t xml:space="preserve"> 63467054</w:t>
            </w:r>
          </w:p>
          <w:p>
            <w:pPr>
              <w:pStyle w:val="Normal"/>
              <w:tabs>
                <w:tab w:val="clear" w:pos="720"/>
                <w:tab w:val="left" w:pos="284" w:leader="none"/>
                <w:tab w:val="left" w:pos="709" w:leader="none"/>
                <w:tab w:val="left" w:pos="1560" w:leader="none"/>
              </w:tabs>
              <w:spacing w:lineRule="auto" w:line="240" w:before="0" w:after="0"/>
              <w:ind w:left="567" w:right="0" w:hanging="567"/>
              <w:jc w:val="both"/>
              <w:rPr>
                <w:rFonts w:ascii="Times New Roman" w:hAnsi="Times New Roman"/>
                <w:sz w:val="24"/>
                <w:szCs w:val="24"/>
              </w:rPr>
            </w:pPr>
            <w:r>
              <w:rPr>
                <w:rFonts w:cs="Times New Roman" w:ascii="Times New Roman" w:hAnsi="Times New Roman"/>
                <w:color w:val="000000"/>
                <w:sz w:val="24"/>
                <w:szCs w:val="24"/>
              </w:rPr>
              <w:t>Faksa numurs: 63461186</w:t>
            </w:r>
          </w:p>
          <w:p>
            <w:pPr>
              <w:pStyle w:val="Normal"/>
              <w:tabs>
                <w:tab w:val="clear" w:pos="720"/>
                <w:tab w:val="left" w:pos="284" w:leader="none"/>
                <w:tab w:val="left" w:pos="709" w:leader="none"/>
                <w:tab w:val="left" w:pos="1560" w:leader="none"/>
              </w:tabs>
              <w:spacing w:lineRule="auto" w:line="240" w:before="0" w:after="0"/>
              <w:ind w:left="567" w:right="0" w:hanging="567"/>
              <w:jc w:val="both"/>
              <w:rPr/>
            </w:pPr>
            <w:r>
              <w:rPr>
                <w:rFonts w:eastAsia="Calibri" w:cs="Times New Roman" w:ascii="Times New Roman" w:hAnsi="Times New Roman"/>
                <w:b w:val="false"/>
                <w:bCs w:val="false"/>
                <w:color w:val="000000"/>
                <w:sz w:val="24"/>
                <w:szCs w:val="24"/>
              </w:rPr>
              <w:t xml:space="preserve">E-pasta adrese: </w:t>
            </w:r>
            <w:hyperlink r:id="rId2">
              <w:r>
                <w:rPr>
                  <w:rStyle w:val="Internetasaite"/>
                  <w:rFonts w:eastAsia="Calibri" w:cs="Times New Roman" w:ascii="Times New Roman" w:hAnsi="Times New Roman"/>
                  <w:b w:val="false"/>
                  <w:bCs w:val="false"/>
                  <w:color w:val="000000"/>
                  <w:sz w:val="24"/>
                  <w:szCs w:val="24"/>
                </w:rPr>
                <w:t>dome@rucava.lv</w:t>
              </w:r>
            </w:hyperlink>
          </w:p>
          <w:p>
            <w:pPr>
              <w:pStyle w:val="Normal"/>
              <w:tabs>
                <w:tab w:val="clear" w:pos="720"/>
                <w:tab w:val="left" w:pos="284" w:leader="none"/>
                <w:tab w:val="left" w:pos="709" w:leader="none"/>
                <w:tab w:val="left" w:pos="1560" w:leader="none"/>
              </w:tabs>
              <w:spacing w:lineRule="auto" w:line="240" w:before="0" w:after="0"/>
              <w:ind w:left="567" w:right="0" w:hanging="567"/>
              <w:jc w:val="both"/>
              <w:rPr>
                <w:rStyle w:val="Internetasaite"/>
                <w:rFonts w:ascii="Times New Roman" w:hAnsi="Times New Roman"/>
                <w:sz w:val="24"/>
                <w:szCs w:val="24"/>
              </w:rPr>
            </w:pPr>
            <w:r>
              <w:rPr>
                <w:rFonts w:ascii="Times New Roman" w:hAnsi="Times New Roman"/>
                <w:sz w:val="24"/>
                <w:szCs w:val="24"/>
              </w:rPr>
            </w:r>
          </w:p>
        </w:tc>
      </w:tr>
      <w:tr>
        <w:trPr>
          <w:trHeight w:val="336"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4"/>
              </w:numPr>
              <w:spacing w:lineRule="auto" w:line="240" w:before="0" w:after="0"/>
              <w:contextualSpacing/>
              <w:rPr>
                <w:rFonts w:ascii="Times New Roman" w:hAnsi="Times New Roman" w:eastAsia="Calibri" w:cs="Times New Roman"/>
                <w:b/>
                <w:b/>
              </w:rPr>
            </w:pPr>
            <w:r>
              <w:rPr>
                <w:rFonts w:eastAsia="Calibri" w:cs="Times New Roman" w:ascii="Times New Roman" w:hAnsi="Times New Roman"/>
                <w:b/>
                <w:sz w:val="24"/>
                <w:szCs w:val="24"/>
              </w:rPr>
              <w:t>Iepirkuma priekšmets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jc w:val="both"/>
              <w:rPr>
                <w:rFonts w:ascii="Times New Roman" w:hAnsi="Times New Roman"/>
                <w:sz w:val="24"/>
                <w:szCs w:val="24"/>
              </w:rPr>
            </w:pPr>
            <w:r>
              <w:rPr>
                <w:sz w:val="24"/>
                <w:szCs w:val="24"/>
              </w:rPr>
              <w:t>Transportlīdzekļiem paredzētās dīzeļdegvielas vairumtirdzniecība un piegāde Rucavas novada pašvaldības vajadzībām,</w:t>
            </w:r>
            <w:r>
              <w:rPr>
                <w:rFonts w:cs="Arial"/>
                <w:sz w:val="24"/>
                <w:szCs w:val="24"/>
              </w:rPr>
              <w:t xml:space="preserve"> </w:t>
            </w:r>
            <w:r>
              <w:rPr>
                <w:sz w:val="24"/>
                <w:szCs w:val="24"/>
              </w:rPr>
              <w:t xml:space="preserve">atbilstoši Nolikumā un Tehniskā specifikācijā noteiktajām prasībām.  </w:t>
            </w:r>
          </w:p>
          <w:p>
            <w:pPr>
              <w:pStyle w:val="NoSpacing"/>
              <w:spacing w:lineRule="auto" w:line="240" w:before="0" w:after="0"/>
              <w:jc w:val="both"/>
              <w:rPr>
                <w:rFonts w:ascii="Times New Roman" w:hAnsi="Times New Roman"/>
                <w:sz w:val="24"/>
                <w:szCs w:val="24"/>
              </w:rPr>
            </w:pPr>
            <w:r>
              <w:rPr>
                <w:sz w:val="24"/>
                <w:szCs w:val="24"/>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4"/>
              </w:numPr>
              <w:spacing w:lineRule="auto" w:line="240" w:before="0" w:after="0"/>
              <w:contextualSpacing/>
              <w:rPr>
                <w:rFonts w:ascii="Times New Roman" w:hAnsi="Times New Roman" w:eastAsia="Calibri" w:cs="Times New Roman"/>
                <w:b/>
                <w:b/>
              </w:rPr>
            </w:pPr>
            <w:r>
              <w:rPr>
                <w:rFonts w:eastAsia="Calibri" w:cs="Times New Roman" w:ascii="Times New Roman" w:hAnsi="Times New Roman"/>
                <w:b/>
                <w:sz w:val="24"/>
                <w:szCs w:val="24"/>
              </w:rPr>
              <w:t>CPV kods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textAlignment w:val="baseline"/>
              <w:rPr>
                <w:rFonts w:ascii="Times New Roman" w:hAnsi="Times New Roman"/>
                <w:sz w:val="24"/>
                <w:szCs w:val="24"/>
              </w:rPr>
            </w:pPr>
            <w:r>
              <w:rPr>
                <w:rFonts w:cs="Times New Roman" w:ascii="Times New Roman" w:hAnsi="Times New Roman"/>
                <w:sz w:val="24"/>
                <w:szCs w:val="24"/>
              </w:rPr>
              <w:t xml:space="preserve">09000000-3 Naftas produkti, degviela, elektroenerģija un pārējie enerģijas avoti; </w:t>
            </w:r>
          </w:p>
          <w:p>
            <w:pPr>
              <w:pStyle w:val="Normal"/>
              <w:spacing w:lineRule="auto" w:line="240" w:before="0" w:after="0"/>
              <w:jc w:val="both"/>
              <w:textAlignment w:val="baseline"/>
              <w:rPr>
                <w:rFonts w:ascii="Times New Roman" w:hAnsi="Times New Roman"/>
                <w:sz w:val="24"/>
                <w:szCs w:val="24"/>
              </w:rPr>
            </w:pPr>
            <w:r>
              <w:rPr>
                <w:rFonts w:cs="Times New Roman" w:ascii="Times New Roman" w:hAnsi="Times New Roman"/>
                <w:sz w:val="24"/>
                <w:szCs w:val="24"/>
              </w:rPr>
              <w:t>papildus kods   09134200-9 (dīzeļdegviela).</w:t>
            </w:r>
          </w:p>
          <w:p>
            <w:pPr>
              <w:pStyle w:val="Normal"/>
              <w:spacing w:lineRule="auto" w:line="240" w:before="0" w:after="0"/>
              <w:jc w:val="both"/>
              <w:textAlignment w:val="baseline"/>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numPr>
                <w:ilvl w:val="1"/>
                <w:numId w:val="4"/>
              </w:numPr>
              <w:spacing w:lineRule="auto" w:line="240" w:before="0" w:after="0"/>
              <w:rPr>
                <w:rFonts w:eastAsia="Calibri"/>
                <w:b/>
                <w:b/>
                <w:sz w:val="22"/>
                <w:szCs w:val="22"/>
              </w:rPr>
            </w:pPr>
            <w:r>
              <w:rPr>
                <w:rFonts w:eastAsia="Calibri"/>
                <w:b/>
                <w:sz w:val="24"/>
                <w:szCs w:val="24"/>
              </w:rPr>
              <w:t xml:space="preserve"> </w:t>
            </w:r>
            <w:r>
              <w:rPr>
                <w:rFonts w:eastAsia="Calibri"/>
                <w:b/>
                <w:sz w:val="24"/>
                <w:szCs w:val="24"/>
              </w:rPr>
              <w:t>Līguma izpildes laiks, vieta</w:t>
            </w:r>
          </w:p>
        </w:tc>
      </w:tr>
      <w:tr>
        <w:trPr>
          <w:trHeight w:val="976" w:hRule="atLeast"/>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ind w:left="0" w:right="0" w:hanging="0"/>
              <w:jc w:val="both"/>
              <w:rPr>
                <w:rFonts w:ascii="Times New Roman" w:hAnsi="Times New Roman" w:eastAsia="Calibri"/>
                <w:color w:val="FF0000"/>
              </w:rPr>
            </w:pPr>
            <w:r>
              <w:rPr>
                <w:rFonts w:eastAsia="Calibri" w:ascii="Times New Roman" w:hAnsi="Times New Roman"/>
                <w:sz w:val="24"/>
                <w:szCs w:val="24"/>
              </w:rPr>
              <w:t>1.4.1. Izpildes laiks 12 mēneši no līguma noslēgšanas brīža.</w:t>
            </w:r>
          </w:p>
          <w:p>
            <w:pPr>
              <w:pStyle w:val="Normal"/>
              <w:shd w:val="clear" w:color="auto" w:fill="FFFFFF"/>
              <w:spacing w:lineRule="auto" w:line="240" w:before="0" w:after="0"/>
              <w:ind w:left="0" w:right="0" w:hanging="0"/>
              <w:jc w:val="both"/>
              <w:rPr>
                <w:rFonts w:ascii="Times New Roman" w:hAnsi="Times New Roman"/>
                <w:sz w:val="24"/>
                <w:szCs w:val="24"/>
              </w:rPr>
            </w:pPr>
            <w:r>
              <w:rPr>
                <w:rFonts w:eastAsia="Calibri" w:ascii="Times New Roman" w:hAnsi="Times New Roman"/>
                <w:sz w:val="24"/>
                <w:szCs w:val="24"/>
              </w:rPr>
              <w:t>1.4.2. Izpildes vieta “Sudrabi”, Rucava, Rucavas pagasts, Rucavas novads (nekustamā īpašuma kadastra Nr.64840080455).</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4"/>
              </w:numPr>
              <w:spacing w:lineRule="auto" w:line="240" w:before="0" w:after="0"/>
              <w:contextualSpacing/>
              <w:rPr>
                <w:rFonts w:ascii="Times New Roman" w:hAnsi="Times New Roman" w:eastAsia="Calibri" w:cs="Times New Roman"/>
                <w:b/>
                <w:b/>
              </w:rPr>
            </w:pPr>
            <w:r>
              <w:rPr>
                <w:rFonts w:eastAsia="Calibri" w:cs="Times New Roman" w:ascii="Times New Roman" w:hAnsi="Times New Roman"/>
                <w:b/>
                <w:sz w:val="24"/>
                <w:szCs w:val="24"/>
              </w:rPr>
              <w:t xml:space="preserve"> </w:t>
            </w:r>
            <w:r>
              <w:rPr>
                <w:rFonts w:cs="Times New Roman" w:ascii="Times New Roman" w:hAnsi="Times New Roman"/>
                <w:b/>
                <w:bCs/>
                <w:sz w:val="24"/>
                <w:szCs w:val="24"/>
              </w:rPr>
              <w:t>Piemērojamā iepirkuma metode:</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Iepirkums tiek veikts, atbilstoši Publisko iepirkumu likumam. Iepirkumam piemērota pasūtījuma piešķiršanas metode, atbilstoši Publisko iepirkumu likum</w:t>
            </w:r>
            <w:r>
              <w:rPr>
                <w:rFonts w:eastAsia="Calibri" w:cs="Times New Roman" w:ascii="Times New Roman" w:hAnsi="Times New Roman"/>
                <w:color w:val="auto"/>
                <w:sz w:val="24"/>
                <w:szCs w:val="24"/>
              </w:rPr>
              <w:t>a 9. panta n</w:t>
            </w:r>
            <w:r>
              <w:rPr>
                <w:rFonts w:eastAsia="Calibri" w:cs="Times New Roman" w:ascii="Times New Roman" w:hAnsi="Times New Roman"/>
                <w:sz w:val="24"/>
                <w:szCs w:val="24"/>
              </w:rPr>
              <w:t xml:space="preserve">osacījumiem. </w:t>
            </w:r>
            <w:r>
              <w:rPr>
                <w:rFonts w:eastAsia="Calibri" w:cs="Times New Roman" w:ascii="Times New Roman" w:hAnsi="Times New Roman"/>
                <w:bCs/>
                <w:color w:val="auto"/>
                <w:sz w:val="24"/>
                <w:szCs w:val="24"/>
              </w:rPr>
              <w:t>Iepirkuma līguma slēgšanas tiesību piešķiršana, nedalot iepirkumu daļās ir: viens pretendentu loks; viens pakalpojuma veikšanas laiks.</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4"/>
              </w:numPr>
              <w:spacing w:lineRule="auto" w:line="240" w:before="0" w:after="0"/>
              <w:contextualSpacing/>
              <w:rPr>
                <w:rFonts w:ascii="Times New Roman" w:hAnsi="Times New Roman" w:eastAsia="Calibri" w:cs="Times New Roman"/>
                <w:b/>
                <w:b/>
              </w:rPr>
            </w:pPr>
            <w:r>
              <w:rPr>
                <w:rFonts w:eastAsia="Calibri" w:cs="Times New Roman" w:ascii="Times New Roman" w:hAnsi="Times New Roman"/>
                <w:b/>
                <w:sz w:val="24"/>
                <w:szCs w:val="24"/>
              </w:rPr>
              <w:t>Kontaktpersonas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bCs/>
                <w:sz w:val="24"/>
                <w:szCs w:val="24"/>
              </w:rPr>
              <w:t xml:space="preserve">Kontaktpersona </w:t>
            </w:r>
            <w:r>
              <w:rPr>
                <w:rFonts w:eastAsia="Calibri" w:cs="Times New Roman" w:ascii="Times New Roman" w:hAnsi="Times New Roman"/>
                <w:b/>
                <w:bCs/>
                <w:sz w:val="24"/>
                <w:szCs w:val="24"/>
              </w:rPr>
              <w:t>par iepirkumu</w:t>
            </w:r>
            <w:r>
              <w:rPr>
                <w:rFonts w:eastAsia="Calibri" w:cs="Times New Roman" w:ascii="Times New Roman" w:hAnsi="Times New Roman"/>
                <w:bCs/>
                <w:sz w:val="24"/>
                <w:szCs w:val="24"/>
              </w:rPr>
              <w:t>: iepirkumu speciālists, tālr. 29904301, e-pasts: iepirkumi@r</w:t>
            </w:r>
            <w:r>
              <w:rPr>
                <w:rFonts w:eastAsia="Calibri" w:cs="Times New Roman" w:ascii="Times New Roman" w:hAnsi="Times New Roman"/>
                <w:bCs/>
                <w:sz w:val="24"/>
                <w:szCs w:val="24"/>
                <w:u w:val="none"/>
              </w:rPr>
              <w:t xml:space="preserve">ucava.lv. </w:t>
            </w:r>
          </w:p>
          <w:p>
            <w:pPr>
              <w:pStyle w:val="Normal"/>
              <w:spacing w:lineRule="auto" w:line="240" w:before="0" w:after="0"/>
              <w:jc w:val="both"/>
              <w:rPr/>
            </w:pPr>
            <w:r>
              <w:rPr>
                <w:rFonts w:eastAsia="Calibri" w:cs="Times New Roman" w:ascii="Times New Roman" w:hAnsi="Times New Roman"/>
                <w:bCs/>
                <w:sz w:val="24"/>
                <w:szCs w:val="24"/>
              </w:rPr>
              <w:t xml:space="preserve">Kontaktpersona </w:t>
            </w:r>
            <w:r>
              <w:rPr>
                <w:rFonts w:eastAsia="Calibri" w:cs="Times New Roman" w:ascii="Times New Roman" w:hAnsi="Times New Roman"/>
                <w:b/>
                <w:bCs/>
                <w:sz w:val="24"/>
                <w:szCs w:val="24"/>
              </w:rPr>
              <w:t>par tehnisko specifikāciju</w:t>
            </w:r>
            <w:r>
              <w:rPr>
                <w:rFonts w:eastAsia="Calibri" w:cs="Times New Roman" w:ascii="Times New Roman" w:hAnsi="Times New Roman"/>
                <w:bCs/>
                <w:sz w:val="24"/>
                <w:szCs w:val="24"/>
              </w:rPr>
              <w:t>: k</w:t>
            </w:r>
            <w:r>
              <w:rPr>
                <w:rStyle w:val="Internetasaite"/>
                <w:rFonts w:eastAsia="Calibri" w:cs="Times New Roman" w:ascii="Times New Roman" w:hAnsi="Times New Roman"/>
                <w:bCs/>
                <w:color w:val="auto"/>
                <w:sz w:val="24"/>
                <w:szCs w:val="24"/>
                <w:u w:val="none"/>
              </w:rPr>
              <w:t xml:space="preserve">omunālās daļas vadītājs, tālr.28373224, e-pasts </w:t>
            </w:r>
            <w:hyperlink r:id="rId3">
              <w:r>
                <w:rPr>
                  <w:rStyle w:val="Internetasaite"/>
                  <w:rFonts w:eastAsia="Calibri" w:cs="Times New Roman" w:ascii="Times New Roman" w:hAnsi="Times New Roman"/>
                  <w:bCs/>
                  <w:color w:val="auto"/>
                  <w:sz w:val="24"/>
                  <w:szCs w:val="24"/>
                  <w:u w:val="none"/>
                </w:rPr>
                <w:t>edgars.rieznieks@rucava.lv</w:t>
              </w:r>
            </w:hyperlink>
            <w:r>
              <w:rPr>
                <w:rStyle w:val="Internetasaite"/>
                <w:rFonts w:eastAsia="Calibri" w:cs="Times New Roman" w:ascii="Times New Roman" w:hAnsi="Times New Roman"/>
                <w:bCs/>
                <w:color w:val="auto"/>
                <w:sz w:val="24"/>
                <w:szCs w:val="24"/>
                <w:u w:val="none"/>
              </w:rPr>
              <w:t>.</w:t>
            </w:r>
          </w:p>
          <w:p>
            <w:pPr>
              <w:pStyle w:val="Normal"/>
              <w:spacing w:lineRule="auto" w:line="240" w:before="0" w:after="0"/>
              <w:jc w:val="both"/>
              <w:rPr>
                <w:rStyle w:val="Internetasaite"/>
                <w:rFonts w:ascii="Times New Roman" w:hAnsi="Times New Roman"/>
                <w:sz w:val="24"/>
                <w:szCs w:val="24"/>
              </w:rPr>
            </w:pPr>
            <w:r>
              <w:rPr>
                <w:rFonts w:ascii="Times New Roman" w:hAnsi="Times New Roman"/>
                <w:sz w:val="24"/>
                <w:szCs w:val="24"/>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4"/>
              </w:numPr>
              <w:spacing w:lineRule="auto" w:line="240" w:before="0" w:after="0"/>
              <w:contextualSpacing/>
              <w:jc w:val="both"/>
              <w:rPr>
                <w:rFonts w:ascii="Times New Roman" w:hAnsi="Times New Roman" w:eastAsia="Calibri" w:cs="Times New Roman"/>
                <w:b/>
                <w:b/>
              </w:rPr>
            </w:pPr>
            <w:r>
              <w:rPr>
                <w:rFonts w:eastAsia="Calibri" w:cs="Times New Roman" w:ascii="Times New Roman" w:hAnsi="Times New Roman"/>
                <w:b/>
                <w:sz w:val="24"/>
                <w:szCs w:val="24"/>
              </w:rPr>
              <w:t>Piedāvājumu iesniegšanas termiņš</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ind w:hanging="0"/>
              <w:jc w:val="both"/>
              <w:rPr>
                <w:rFonts w:ascii="Times New Roman" w:hAnsi="Times New Roman"/>
                <w:sz w:val="24"/>
                <w:szCs w:val="24"/>
              </w:rPr>
            </w:pPr>
            <w:r>
              <w:rPr>
                <w:rFonts w:eastAsia="Calibri" w:cs="Times New Roman" w:ascii="Times New Roman" w:hAnsi="Times New Roman"/>
                <w:sz w:val="24"/>
                <w:szCs w:val="24"/>
              </w:rPr>
              <w:t>1.7.1. Piedāvājumi iesnied</w:t>
            </w:r>
            <w:r>
              <w:rPr>
                <w:rFonts w:eastAsia="Calibri" w:cs="Times New Roman" w:ascii="Times New Roman" w:hAnsi="Times New Roman"/>
                <w:color w:val="auto"/>
                <w:sz w:val="24"/>
                <w:szCs w:val="24"/>
              </w:rPr>
              <w:t xml:space="preserve">zami Rucavas novada domē, „Pagastmāja”, Rucava, Rucavas pagasts, Rucavas novads, kancelejā </w:t>
            </w:r>
            <w:r>
              <w:rPr>
                <w:rFonts w:eastAsia="Calibri" w:cs="Times New Roman" w:ascii="Times New Roman" w:hAnsi="Times New Roman"/>
                <w:b w:val="false"/>
                <w:bCs w:val="false"/>
                <w:color w:val="auto"/>
                <w:sz w:val="24"/>
                <w:szCs w:val="24"/>
              </w:rPr>
              <w:t>līdz</w:t>
            </w:r>
            <w:r>
              <w:rPr>
                <w:rFonts w:eastAsia="Calibri" w:cs="Times New Roman" w:ascii="Times New Roman" w:hAnsi="Times New Roman"/>
                <w:b/>
                <w:color w:val="auto"/>
                <w:sz w:val="24"/>
                <w:szCs w:val="24"/>
              </w:rPr>
              <w:t xml:space="preserve"> 2019.gada 3.jūlijam pulksten 14.00. </w:t>
            </w:r>
          </w:p>
          <w:p>
            <w:pPr>
              <w:pStyle w:val="Normal"/>
              <w:numPr>
                <w:ilvl w:val="0"/>
                <w:numId w:val="0"/>
              </w:numPr>
              <w:spacing w:lineRule="auto" w:line="240" w:before="0" w:after="0"/>
              <w:ind w:hanging="0"/>
              <w:jc w:val="both"/>
              <w:rPr>
                <w:rFonts w:ascii="Times New Roman" w:hAnsi="Times New Roman"/>
                <w:sz w:val="24"/>
                <w:szCs w:val="24"/>
              </w:rPr>
            </w:pPr>
            <w:r>
              <w:rPr>
                <w:rFonts w:eastAsia="Calibri" w:cs="Times New Roman" w:ascii="Times New Roman" w:hAnsi="Times New Roman"/>
                <w:sz w:val="24"/>
                <w:szCs w:val="24"/>
              </w:rPr>
              <w:t>Darba laiks: pirmdiena, otrdiena, trešdiena no 8.00 līdz 17.00, pusdienas pārtraukums no 12.00 līdz 12.30, ceturtdiena no 08.00 līdz 18.00,</w:t>
            </w:r>
            <w:r>
              <w:rPr>
                <w:rFonts w:cs="Times New Roman" w:ascii="Times New Roman" w:hAnsi="Times New Roman"/>
                <w:sz w:val="24"/>
                <w:szCs w:val="24"/>
              </w:rPr>
              <w:t xml:space="preserve"> </w:t>
            </w:r>
            <w:r>
              <w:rPr>
                <w:rFonts w:eastAsia="Calibri" w:cs="Times New Roman" w:ascii="Times New Roman" w:hAnsi="Times New Roman"/>
                <w:sz w:val="24"/>
                <w:szCs w:val="24"/>
              </w:rPr>
              <w:t>pusdienas pārtraukums no 12.00 līdz 12.30, piektdiena no 8.00 līdz 13.00 bez pusdienas pārtraukuma. Pirmssvētku dienās darba laiks ir saīsināts par 1 (vienu) stundu.</w:t>
            </w:r>
          </w:p>
          <w:p>
            <w:pPr>
              <w:pStyle w:val="Normal"/>
              <w:numPr>
                <w:ilvl w:val="0"/>
                <w:numId w:val="0"/>
              </w:numPr>
              <w:spacing w:lineRule="auto" w:line="240" w:before="0" w:after="0"/>
              <w:ind w:hanging="0"/>
              <w:jc w:val="both"/>
              <w:rPr>
                <w:rFonts w:ascii="Times New Roman" w:hAnsi="Times New Roman"/>
                <w:sz w:val="24"/>
                <w:szCs w:val="24"/>
              </w:rPr>
            </w:pPr>
            <w:r>
              <w:rPr>
                <w:rFonts w:eastAsia="Calibri" w:cs="Times New Roman" w:ascii="Times New Roman" w:hAnsi="Times New Roman"/>
                <w:sz w:val="24"/>
                <w:szCs w:val="24"/>
              </w:rPr>
              <w:t xml:space="preserve">1.7.2. Ja piegādātājs piedāvājuma iesniegšanai izmanto citu personu pakalpojumus (nosūta pa </w:t>
            </w:r>
            <w:r>
              <w:rPr>
                <w:rFonts w:eastAsia="Calibri" w:cs="Times New Roman" w:ascii="Times New Roman" w:hAnsi="Times New Roman"/>
                <w:b w:val="false"/>
                <w:bCs w:val="false"/>
                <w:color w:val="auto"/>
                <w:sz w:val="24"/>
                <w:szCs w:val="24"/>
              </w:rPr>
              <w:t>pastu vai ar kurjeru), piegādātājs ir atbildīgs par piedāvājuma piegādi līdz piedāvājumu iesniegšanas vietai līdz noteiktā termiņa beigām.</w:t>
            </w:r>
          </w:p>
          <w:p>
            <w:pPr>
              <w:pStyle w:val="Normal"/>
              <w:numPr>
                <w:ilvl w:val="0"/>
                <w:numId w:val="0"/>
              </w:numPr>
              <w:spacing w:lineRule="auto" w:line="240" w:before="0" w:after="0"/>
              <w:ind w:hanging="0"/>
              <w:jc w:val="both"/>
              <w:rPr>
                <w:rFonts w:ascii="Times New Roman" w:hAnsi="Times New Roman"/>
                <w:sz w:val="24"/>
                <w:szCs w:val="24"/>
              </w:rPr>
            </w:pPr>
            <w:r>
              <w:rPr>
                <w:rFonts w:eastAsia="Calibri" w:cs="Times New Roman" w:ascii="Times New Roman" w:hAnsi="Times New Roman"/>
                <w:b w:val="false"/>
                <w:bCs w:val="false"/>
                <w:color w:val="auto"/>
                <w:sz w:val="24"/>
                <w:szCs w:val="24"/>
              </w:rPr>
              <w:t>1.7.3. Jebkuri piedāvājumi, kurus Komisija saņems pēc pēdējā iesniegšanas termiņa, netiks izskatīti un tiks neatvērti atdoti vai nosūtīti atpakaļ iesniedzējam.</w:t>
            </w:r>
          </w:p>
          <w:p>
            <w:pPr>
              <w:pStyle w:val="Normal"/>
              <w:numPr>
                <w:ilvl w:val="0"/>
                <w:numId w:val="0"/>
              </w:numPr>
              <w:spacing w:lineRule="auto" w:line="240" w:before="0" w:after="0"/>
              <w:ind w:left="360" w:hanging="0"/>
              <w:jc w:val="both"/>
              <w:rPr>
                <w:rFonts w:ascii="Times New Roman" w:hAnsi="Times New Roman" w:eastAsia="Calibri" w:cs="Times New Roman"/>
                <w:b w:val="false"/>
                <w:b w:val="false"/>
                <w:bCs w:val="false"/>
                <w:color w:val="auto"/>
                <w:sz w:val="24"/>
                <w:szCs w:val="24"/>
              </w:rPr>
            </w:pPr>
            <w:r>
              <w:rPr>
                <w:rFonts w:eastAsia="Calibri" w:cs="Times New Roman" w:ascii="Times New Roman" w:hAnsi="Times New Roman"/>
                <w:b w:val="false"/>
                <w:bCs w:val="false"/>
                <w:color w:val="auto"/>
                <w:sz w:val="24"/>
                <w:szCs w:val="24"/>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1"/>
                <w:numId w:val="4"/>
              </w:numPr>
              <w:spacing w:lineRule="auto" w:line="240" w:before="0" w:after="0"/>
              <w:contextualSpacing/>
              <w:jc w:val="both"/>
              <w:rPr>
                <w:rFonts w:ascii="Times New Roman" w:hAnsi="Times New Roman" w:eastAsia="Calibri" w:cs="Times New Roman"/>
                <w:b/>
                <w:b/>
              </w:rPr>
            </w:pPr>
            <w:r>
              <w:rPr>
                <w:rFonts w:eastAsia="Calibri" w:cs="Times New Roman" w:ascii="Times New Roman" w:hAnsi="Times New Roman"/>
                <w:b/>
                <w:sz w:val="24"/>
                <w:szCs w:val="24"/>
              </w:rPr>
              <w:t>Piedāvājumu atvēršanas vieta un laiks</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1.8.1. Piedāvājumu atvēršana notiek Rucavas novada domē, „Pagastmāja”, Rucava, Rucavas pagasts, Rucavas novads, tūlīt pēc piedāvājumu iesniegšanas termiņa beigām.</w:t>
            </w:r>
          </w:p>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1.8.2. Piedāvājumu atvēršanas sanāksmē var piedalīties visas ieinteresētās personas, reģistrējoties piedāvājumu atvēršanas sanāksmes reģistrācijas lapā.</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Times New Roman" w:hAnsi="Times New Roman"/>
                <w:sz w:val="24"/>
                <w:szCs w:val="24"/>
              </w:rPr>
            </w:pPr>
            <w:r>
              <w:rPr>
                <w:rFonts w:eastAsia="Calibri" w:cs="Times New Roman" w:ascii="Times New Roman" w:hAnsi="Times New Roman"/>
                <w:b/>
                <w:sz w:val="24"/>
                <w:szCs w:val="24"/>
              </w:rPr>
              <w:t>1.9 . Iepirkuma procedūras dokumenti</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pPr>
            <w:r>
              <w:rPr>
                <w:rStyle w:val="Internetasaite"/>
                <w:rFonts w:eastAsia="Calibri" w:cs="Times New Roman" w:ascii="Times New Roman" w:hAnsi="Times New Roman"/>
                <w:b w:val="false"/>
                <w:bCs/>
                <w:i w:val="false"/>
                <w:caps w:val="false"/>
                <w:smallCaps w:val="false"/>
                <w:strike w:val="false"/>
                <w:dstrike w:val="false"/>
                <w:color w:val="auto"/>
                <w:spacing w:val="0"/>
                <w:sz w:val="24"/>
                <w:szCs w:val="24"/>
                <w:u w:val="none"/>
              </w:rPr>
              <w:t xml:space="preserve">Nolikumam ar pielikumiem ir nodrošināta tieša un brīva elektroniskā pieeja Rucavas novada domes pircēja profilā elektronisko iepirkumu sistēmas (turpmāk tekstā – EIS) e-konkursu apakšsistēmā </w:t>
            </w:r>
            <w:hyperlink r:id="rId4">
              <w:r>
                <w:rPr>
                  <w:rStyle w:val="Internetasaite"/>
                  <w:rFonts w:eastAsia="Calibri" w:cs="Times New Roman" w:ascii="Times New Roman" w:hAnsi="Times New Roman"/>
                  <w:b w:val="false"/>
                  <w:bCs/>
                  <w:i w:val="false"/>
                  <w:caps w:val="false"/>
                  <w:smallCaps w:val="false"/>
                  <w:strike w:val="false"/>
                  <w:dstrike w:val="false"/>
                  <w:color w:val="auto"/>
                  <w:spacing w:val="0"/>
                  <w:sz w:val="24"/>
                  <w:szCs w:val="24"/>
                  <w:highlight w:val="white"/>
                  <w:u w:val="none"/>
                  <w:effect w:val="none"/>
                </w:rPr>
                <w:t>https://www.eis.gov.lv/EKEIS/Supplier/Organizer/1392</w:t>
              </w:r>
            </w:hyperlink>
            <w:r>
              <w:rPr>
                <w:rStyle w:val="Internetasaite"/>
                <w:rFonts w:eastAsia="Calibri" w:cs="Times New Roman" w:ascii="Times New Roman" w:hAnsi="Times New Roman"/>
                <w:b w:val="false"/>
                <w:bCs/>
                <w:i w:val="false"/>
                <w:caps w:val="false"/>
                <w:smallCaps w:val="false"/>
                <w:strike w:val="false"/>
                <w:dstrike w:val="false"/>
                <w:color w:val="auto"/>
                <w:spacing w:val="0"/>
                <w:sz w:val="24"/>
                <w:szCs w:val="24"/>
                <w:highlight w:val="white"/>
                <w:u w:val="none"/>
                <w:effect w:val="none"/>
              </w:rPr>
              <w:t>.</w:t>
            </w:r>
          </w:p>
          <w:p>
            <w:pPr>
              <w:pStyle w:val="Normal"/>
              <w:spacing w:lineRule="auto" w:line="240" w:before="0" w:after="0"/>
              <w:ind w:left="0" w:right="0" w:hanging="0"/>
              <w:jc w:val="both"/>
              <w:rPr>
                <w:rStyle w:val="Internetasaite"/>
                <w:rFonts w:ascii="Times New Roman" w:hAnsi="Times New Roman" w:eastAsia="Calibri" w:cs="Times New Roman"/>
                <w:b w:val="false"/>
                <w:b w:val="false"/>
                <w:bCs/>
                <w:i w:val="false"/>
                <w:i w:val="false"/>
                <w:caps w:val="false"/>
                <w:smallCaps w:val="false"/>
                <w:strike w:val="false"/>
                <w:dstrike w:val="false"/>
                <w:color w:val="auto"/>
                <w:spacing w:val="0"/>
                <w:sz w:val="24"/>
                <w:szCs w:val="24"/>
                <w:highlight w:val="white"/>
                <w:u w:val="none"/>
                <w:effect w:val="none"/>
              </w:rPr>
            </w:pPr>
            <w:r>
              <w:rPr>
                <w:rFonts w:eastAsia="Calibri" w:cs="Times New Roman" w:ascii="Times New Roman" w:hAnsi="Times New Roman"/>
                <w:b w:val="false"/>
                <w:bCs/>
                <w:i w:val="false"/>
                <w:caps w:val="false"/>
                <w:smallCaps w:val="false"/>
                <w:strike w:val="false"/>
                <w:dstrike w:val="false"/>
                <w:color w:val="auto"/>
                <w:spacing w:val="0"/>
                <w:sz w:val="24"/>
                <w:szCs w:val="24"/>
                <w:highlight w:val="white"/>
                <w:u w:val="none"/>
                <w:effect w:val="none"/>
              </w:rPr>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rFonts w:ascii="Times New Roman" w:hAnsi="Times New Roman"/>
                <w:sz w:val="24"/>
                <w:szCs w:val="24"/>
              </w:rPr>
            </w:pPr>
            <w:r>
              <w:rPr>
                <w:rFonts w:eastAsia="Calibri" w:cs="Times New Roman" w:ascii="Times New Roman" w:hAnsi="Times New Roman"/>
                <w:b/>
                <w:sz w:val="24"/>
                <w:szCs w:val="24"/>
              </w:rPr>
              <w:t>1.10. Papildu informācija</w:t>
            </w:r>
          </w:p>
        </w:tc>
      </w:tr>
      <w:tr>
        <w:trPr/>
        <w:tc>
          <w:tcPr>
            <w:tcW w:w="9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pPr>
            <w:r>
              <w:rPr>
                <w:rFonts w:eastAsia="Helvetica" w:cs="Times New Roman" w:ascii="Times New Roman" w:hAnsi="Times New Roman"/>
                <w:color w:val="auto"/>
                <w:sz w:val="24"/>
                <w:szCs w:val="24"/>
              </w:rPr>
              <w:t xml:space="preserve">1.10.1. Jebkura papildu informācija, kas tiks sniegta saistībā ar šo iepirkuma procedūru, tiks publicēta </w:t>
            </w:r>
            <w:r>
              <w:rPr>
                <w:rFonts w:eastAsia="Calibri" w:cs="Times New Roman" w:ascii="Times New Roman" w:hAnsi="Times New Roman"/>
                <w:bCs/>
                <w:color w:val="auto"/>
                <w:sz w:val="24"/>
                <w:szCs w:val="24"/>
              </w:rPr>
              <w:t>Rucavas novada domes pircēja profilā</w:t>
            </w:r>
            <w:r>
              <w:rPr>
                <w:rFonts w:eastAsia="Calibri" w:cs="Times New Roman" w:ascii="Times New Roman" w:hAnsi="Times New Roman"/>
                <w:color w:val="auto"/>
                <w:sz w:val="24"/>
                <w:szCs w:val="24"/>
              </w:rPr>
              <w:t xml:space="preserve"> EIS </w:t>
            </w:r>
            <w:r>
              <w:rPr>
                <w:rStyle w:val="Internetasaite"/>
                <w:rFonts w:eastAsia="Calibri" w:cs="Times New Roman" w:ascii="Times New Roman" w:hAnsi="Times New Roman"/>
                <w:color w:val="auto"/>
                <w:sz w:val="24"/>
                <w:szCs w:val="24"/>
                <w:u w:val="none"/>
              </w:rPr>
              <w:t>e-konkursu apakšsistēmā</w:t>
            </w:r>
            <w:r>
              <w:rPr>
                <w:rStyle w:val="Internetasaite"/>
                <w:rFonts w:eastAsia="Calibri" w:cs="Times New Roman" w:ascii="Times New Roman" w:hAnsi="Times New Roman"/>
                <w:b/>
                <w:bCs/>
                <w:color w:val="auto"/>
                <w:sz w:val="24"/>
                <w:szCs w:val="24"/>
                <w:u w:val="none"/>
              </w:rPr>
              <w:t xml:space="preserve"> </w:t>
            </w:r>
            <w:hyperlink r:id="rId5">
              <w:bookmarkStart w:id="0" w:name="__DdeLink__1865_4217191826"/>
              <w:r>
                <w:rPr>
                  <w:rStyle w:val="Internetasaite"/>
                  <w:rFonts w:eastAsia="Calibri" w:cs="Times New Roman" w:ascii="Times New Roman" w:hAnsi="Times New Roman"/>
                  <w:b w:val="false"/>
                  <w:bCs/>
                  <w:i w:val="false"/>
                  <w:caps w:val="false"/>
                  <w:smallCaps w:val="false"/>
                  <w:strike w:val="false"/>
                  <w:dstrike w:val="false"/>
                  <w:color w:val="auto"/>
                  <w:spacing w:val="0"/>
                  <w:sz w:val="24"/>
                  <w:szCs w:val="24"/>
                  <w:highlight w:val="white"/>
                  <w:u w:val="none"/>
                  <w:effect w:val="none"/>
                </w:rPr>
                <w:t>https://www.eis.gov.lv/EKEIS/Supplier/Organizer/1392</w:t>
              </w:r>
            </w:hyperlink>
            <w:bookmarkEnd w:id="0"/>
            <w:r>
              <w:rPr>
                <w:rStyle w:val="Internetasaite"/>
                <w:rFonts w:eastAsia="Calibri" w:cs="Times New Roman" w:ascii="Times New Roman" w:hAnsi="Times New Roman"/>
                <w:bCs/>
                <w:color w:val="auto"/>
                <w:sz w:val="24"/>
                <w:szCs w:val="24"/>
                <w:u w:val="none"/>
              </w:rPr>
              <w:t xml:space="preserve">. </w:t>
            </w:r>
            <w:r>
              <w:rPr>
                <w:rFonts w:eastAsia="Helvetica" w:cs="Times New Roman" w:ascii="Times New Roman" w:hAnsi="Times New Roman"/>
                <w:color w:val="auto"/>
                <w:sz w:val="24"/>
                <w:szCs w:val="24"/>
              </w:rPr>
              <w:t>Ieinteresētajam piegādātājam ir pienākums sekot līdzi publicētajai informācijai. Komisija nav atbildīga par to, ja kāda ieinteresētā persona nav iepazinusies ar informāciju, kam ir nodrošināta brīva un tieša elektroniskā pieeja.</w:t>
            </w:r>
          </w:p>
          <w:p>
            <w:pPr>
              <w:pStyle w:val="Normal"/>
              <w:spacing w:lineRule="auto" w:line="240" w:before="0" w:after="0"/>
              <w:ind w:left="0" w:right="0" w:hanging="0"/>
              <w:jc w:val="both"/>
              <w:rPr>
                <w:rFonts w:ascii="Times New Roman" w:hAnsi="Times New Roman"/>
                <w:sz w:val="24"/>
                <w:szCs w:val="24"/>
              </w:rPr>
            </w:pPr>
            <w:r>
              <w:rPr>
                <w:rFonts w:eastAsia="Helvetica" w:cs="Times New Roman" w:ascii="Times New Roman" w:hAnsi="Times New Roman"/>
                <w:color w:val="auto"/>
                <w:sz w:val="24"/>
                <w:szCs w:val="24"/>
              </w:rPr>
              <w:t>1.10.2.</w:t>
            </w:r>
            <w:r>
              <w:rPr>
                <w:rFonts w:eastAsia="Helvetica" w:cs="Times New Roman" w:ascii="Times New Roman" w:hAnsi="Times New Roman"/>
                <w:b/>
                <w:color w:val="auto"/>
                <w:sz w:val="24"/>
                <w:szCs w:val="24"/>
              </w:rPr>
              <w:t xml:space="preserve"> </w:t>
            </w:r>
            <w:r>
              <w:rPr>
                <w:rFonts w:cs="Times New Roman" w:ascii="Times New Roman" w:hAnsi="Times New Roman"/>
                <w:bCs/>
                <w:color w:val="auto"/>
                <w:sz w:val="24"/>
                <w:szCs w:val="24"/>
              </w:rPr>
              <w:t xml:space="preserve">Ja piegādātājs ir laikus pieprasījis papildu informāciju par iepirkuma procedūras dokumentos iekļautajām prasībām, Komisija to sniedz </w:t>
            </w:r>
            <w:r>
              <w:rPr>
                <w:rFonts w:eastAsia="Helvetica" w:cs="Times New Roman" w:ascii="Times New Roman" w:hAnsi="Times New Roman"/>
                <w:bCs/>
                <w:color w:val="auto"/>
                <w:sz w:val="24"/>
                <w:szCs w:val="24"/>
              </w:rPr>
              <w:t>triju darbdienu laikā, bet ne vēlāk kā četras dienas pirms piedāvājumu iesniegšanas termiņa beigām.</w:t>
            </w:r>
          </w:p>
          <w:p>
            <w:pPr>
              <w:pStyle w:val="Normal"/>
              <w:spacing w:lineRule="auto" w:line="240" w:before="0" w:after="0"/>
              <w:ind w:left="0" w:right="0" w:hanging="0"/>
              <w:jc w:val="both"/>
              <w:rPr>
                <w:rFonts w:ascii="Times New Roman" w:hAnsi="Times New Roman"/>
                <w:sz w:val="24"/>
                <w:szCs w:val="24"/>
              </w:rPr>
            </w:pPr>
            <w:r>
              <w:rPr>
                <w:rFonts w:eastAsia="Helvetica" w:cs="Times New Roman" w:ascii="Times New Roman" w:hAnsi="Times New Roman"/>
                <w:color w:val="auto"/>
                <w:sz w:val="24"/>
                <w:szCs w:val="24"/>
              </w:rPr>
              <w:t>1.10.3. Komisija papildu informāciju nosūta piegādātājam, kas uzdevis jautājumu, un vienlaikus ievieto šo informāciju pircēja profilā, kur ir pieejami iepirkuma procedūras dokumenti, norādot arī uzdoto jautājumu.</w:t>
            </w:r>
          </w:p>
          <w:p>
            <w:pPr>
              <w:pStyle w:val="Normal"/>
              <w:spacing w:lineRule="auto" w:line="240" w:before="0" w:after="0"/>
              <w:ind w:left="0" w:right="0" w:hanging="0"/>
              <w:jc w:val="both"/>
              <w:rPr>
                <w:b w:val="false"/>
                <w:b w:val="false"/>
                <w:bCs w:val="false"/>
              </w:rPr>
            </w:pPr>
            <w:r>
              <w:rPr>
                <w:rFonts w:eastAsia="Helvetica" w:cs="Times New Roman" w:ascii="Times New Roman" w:hAnsi="Times New Roman"/>
                <w:b w:val="false"/>
                <w:bCs w:val="false"/>
                <w:color w:val="auto"/>
                <w:sz w:val="24"/>
                <w:szCs w:val="24"/>
                <w:u w:val="single"/>
              </w:rPr>
              <w:t>1.10.4.  Nepietiekama finansējuma gadījumā Pasūtītājam ir tiesības neslēgt paredzamo līgumu.</w:t>
            </w:r>
          </w:p>
        </w:tc>
      </w:tr>
    </w:tbl>
    <w:p>
      <w:pPr>
        <w:pStyle w:val="NoSpacing"/>
        <w:rPr>
          <w:rFonts w:ascii="Times New Roman" w:hAnsi="Times New Roman"/>
          <w:sz w:val="24"/>
          <w:szCs w:val="24"/>
        </w:rPr>
      </w:pPr>
      <w:r>
        <w:rPr>
          <w:sz w:val="24"/>
          <w:szCs w:val="24"/>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rPr>
        <w:t>2. SADAĻA</w:t>
      </w:r>
    </w:p>
    <w:p>
      <w:pPr>
        <w:pStyle w:val="Normal"/>
        <w:spacing w:lineRule="auto" w:line="240" w:before="0" w:after="0"/>
        <w:jc w:val="center"/>
        <w:rPr>
          <w:sz w:val="24"/>
          <w:szCs w:val="24"/>
        </w:rPr>
      </w:pPr>
      <w:r>
        <w:rPr>
          <w:rFonts w:cs="Times New Roman" w:ascii="Times New Roman" w:hAnsi="Times New Roman"/>
          <w:b/>
          <w:sz w:val="24"/>
          <w:szCs w:val="24"/>
        </w:rPr>
        <w:t>INFORMĀCIJA PAR IEPIRKUMA PRIEKŠMETU</w:t>
      </w:r>
    </w:p>
    <w:tbl>
      <w:tblPr>
        <w:tblStyle w:val="TableGrid"/>
        <w:tblW w:w="8955" w:type="dxa"/>
        <w:jc w:val="left"/>
        <w:tblInd w:w="327" w:type="dxa"/>
        <w:tblCellMar>
          <w:top w:w="0" w:type="dxa"/>
          <w:left w:w="108" w:type="dxa"/>
          <w:bottom w:w="0" w:type="dxa"/>
          <w:right w:w="108" w:type="dxa"/>
        </w:tblCellMar>
        <w:tblLook w:firstRow="1" w:noVBand="1" w:lastRow="0" w:firstColumn="1" w:lastColumn="0" w:noHBand="0" w:val="04a0"/>
      </w:tblPr>
      <w:tblGrid>
        <w:gridCol w:w="8955"/>
      </w:tblGrid>
      <w:tr>
        <w:trPr/>
        <w:tc>
          <w:tcPr>
            <w:tcW w:w="8955" w:type="dxa"/>
            <w:tcBorders>
              <w:top w:val="nil"/>
              <w:left w:val="nil"/>
              <w:bottom w:val="nil"/>
              <w:right w:val="nil"/>
              <w:insideH w:val="nil"/>
              <w:insideV w:val="nil"/>
            </w:tcBorders>
            <w:shd w:fill="auto" w:val="clear"/>
          </w:tcPr>
          <w:p>
            <w:pPr>
              <w:pStyle w:val="Normal"/>
              <w:spacing w:lineRule="auto" w:line="240" w:before="0" w:after="0"/>
              <w:rPr>
                <w:sz w:val="24"/>
                <w:szCs w:val="24"/>
              </w:rPr>
            </w:pPr>
            <w:r>
              <w:rPr>
                <w:rFonts w:cs="Times New Roman" w:ascii="Times New Roman" w:hAnsi="Times New Roman"/>
                <w:b/>
                <w:sz w:val="24"/>
                <w:szCs w:val="24"/>
              </w:rPr>
              <w:t xml:space="preserve"> </w:t>
            </w:r>
          </w:p>
        </w:tc>
      </w:tr>
      <w:tr>
        <w:trPr>
          <w:trHeight w:val="6618" w:hRule="atLeast"/>
        </w:trPr>
        <w:tc>
          <w:tcPr>
            <w:tcW w:w="8955" w:type="dxa"/>
            <w:tcBorders>
              <w:top w:val="nil"/>
              <w:left w:val="nil"/>
              <w:right w:val="nil"/>
              <w:insideV w:val="nil"/>
            </w:tcBorders>
            <w:shd w:fill="auto" w:val="clear"/>
          </w:tcPr>
          <w:tbl>
            <w:tblPr>
              <w:tblStyle w:val="TableGrid"/>
              <w:tblW w:w="8768" w:type="dxa"/>
              <w:jc w:val="left"/>
              <w:tblInd w:w="0" w:type="dxa"/>
              <w:tblCellMar>
                <w:top w:w="0" w:type="dxa"/>
                <w:left w:w="108" w:type="dxa"/>
                <w:bottom w:w="0" w:type="dxa"/>
                <w:right w:w="108" w:type="dxa"/>
              </w:tblCellMar>
              <w:tblLook w:firstRow="1" w:noVBand="1" w:lastRow="0" w:firstColumn="1" w:lastColumn="0" w:noHBand="0" w:val="04a0"/>
            </w:tblPr>
            <w:tblGrid>
              <w:gridCol w:w="8768"/>
            </w:tblGrid>
            <w:tr>
              <w:trPr/>
              <w:tc>
                <w:tcPr>
                  <w:tcW w:w="8768" w:type="dxa"/>
                  <w:tcBorders/>
                  <w:shd w:fill="auto" w:val="clear"/>
                </w:tcPr>
                <w:p>
                  <w:pPr>
                    <w:pStyle w:val="Normal"/>
                    <w:spacing w:lineRule="auto" w:line="240" w:before="0" w:after="0"/>
                    <w:rPr>
                      <w:sz w:val="24"/>
                      <w:szCs w:val="24"/>
                    </w:rPr>
                  </w:pPr>
                  <w:r>
                    <w:rPr>
                      <w:rFonts w:cs="Times New Roman" w:ascii="Times New Roman" w:hAnsi="Times New Roman"/>
                      <w:b/>
                      <w:sz w:val="24"/>
                      <w:szCs w:val="24"/>
                    </w:rPr>
                    <w:t>2.1. Iepirkuma priekšmeta apraksts</w:t>
                  </w:r>
                  <w:r>
                    <w:rPr>
                      <w:rFonts w:cs="Times New Roman" w:ascii="Times New Roman" w:hAnsi="Times New Roman"/>
                      <w:b/>
                      <w:color w:val="000000"/>
                      <w:sz w:val="24"/>
                      <w:szCs w:val="24"/>
                    </w:rPr>
                    <w:t>:</w:t>
                  </w:r>
                </w:p>
              </w:tc>
            </w:tr>
            <w:tr>
              <w:trPr/>
              <w:tc>
                <w:tcPr>
                  <w:tcW w:w="8768" w:type="dxa"/>
                  <w:tcBorders/>
                  <w:shd w:fill="auto" w:val="clear"/>
                </w:tcPr>
                <w:p>
                  <w:pPr>
                    <w:pStyle w:val="Normal"/>
                    <w:spacing w:lineRule="auto" w:line="240" w:before="0" w:after="0"/>
                    <w:jc w:val="both"/>
                    <w:rPr>
                      <w:sz w:val="24"/>
                      <w:szCs w:val="24"/>
                    </w:rPr>
                  </w:pPr>
                  <w:r>
                    <w:rPr>
                      <w:rFonts w:cs="Times New Roman" w:ascii="Times New Roman" w:hAnsi="Times New Roman"/>
                      <w:sz w:val="24"/>
                      <w:szCs w:val="24"/>
                    </w:rPr>
                    <w:t>Transporta dīzeļdegvielas vairumtirdzniecība un piegāde Rucavas novada pašvaldības vajadzībām, atbilstoši Nolikumā un Tehniskajā specifikācijā (Nolikuma 3.pielikums) noteiktajām minimālajām prasībām.</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8768" w:type="dxa"/>
                  <w:tcBorders/>
                  <w:shd w:fill="auto" w:val="clear"/>
                </w:tcPr>
                <w:p>
                  <w:pPr>
                    <w:pStyle w:val="Normal"/>
                    <w:spacing w:lineRule="auto" w:line="240" w:before="0" w:after="0"/>
                    <w:jc w:val="both"/>
                    <w:rPr>
                      <w:sz w:val="24"/>
                      <w:szCs w:val="24"/>
                    </w:rPr>
                  </w:pPr>
                  <w:r>
                    <w:rPr>
                      <w:rFonts w:cs="Times New Roman" w:ascii="Times New Roman" w:hAnsi="Times New Roman"/>
                      <w:b/>
                      <w:bCs/>
                      <w:color w:val="auto"/>
                      <w:sz w:val="24"/>
                      <w:szCs w:val="24"/>
                    </w:rPr>
                    <w:t>2.2. Iepirkuma priekšmeta izpilde</w:t>
                  </w:r>
                </w:p>
              </w:tc>
            </w:tr>
            <w:tr>
              <w:trPr/>
              <w:tc>
                <w:tcPr>
                  <w:tcW w:w="8768" w:type="dxa"/>
                  <w:tcBorders/>
                  <w:shd w:fill="auto" w:val="clear"/>
                </w:tcPr>
                <w:p>
                  <w:pPr>
                    <w:pStyle w:val="Normal"/>
                    <w:spacing w:lineRule="auto" w:line="240" w:before="0" w:after="0"/>
                    <w:jc w:val="both"/>
                    <w:rPr>
                      <w:sz w:val="24"/>
                      <w:szCs w:val="24"/>
                    </w:rPr>
                  </w:pPr>
                  <w:r>
                    <w:rPr>
                      <w:rFonts w:cs="Times New Roman" w:ascii="Times New Roman" w:hAnsi="Times New Roman"/>
                      <w:color w:val="auto"/>
                      <w:sz w:val="24"/>
                      <w:szCs w:val="24"/>
                    </w:rPr>
                    <w:t>Iepirkuma priekšmeta izpilde</w:t>
                  </w:r>
                  <w:r>
                    <w:rPr>
                      <w:rFonts w:cs="Times New Roman" w:ascii="Times New Roman" w:hAnsi="Times New Roman"/>
                      <w:sz w:val="24"/>
                      <w:szCs w:val="24"/>
                    </w:rPr>
                    <w:t xml:space="preserve"> pretendentam jāveic ar nepieciešamās kvalifikācijas darbiniekiem un tehniskajiem līdzekļiem (ierīcēm, iekārtām, mehānismiem, instrumentiem un transportlīdzekļiem).</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8768" w:type="dxa"/>
                  <w:tcBorders/>
                  <w:shd w:fill="auto" w:val="clear"/>
                </w:tcPr>
                <w:p>
                  <w:pPr>
                    <w:pStyle w:val="Pamatteksts"/>
                    <w:tabs>
                      <w:tab w:val="clear" w:pos="720"/>
                      <w:tab w:val="left" w:pos="440" w:leader="none"/>
                      <w:tab w:val="left" w:pos="567" w:leader="none"/>
                    </w:tabs>
                    <w:spacing w:lineRule="auto" w:line="240" w:before="0" w:after="0"/>
                    <w:jc w:val="left"/>
                    <w:rPr>
                      <w:sz w:val="24"/>
                      <w:szCs w:val="24"/>
                    </w:rPr>
                  </w:pPr>
                  <w:r>
                    <w:rPr>
                      <w:b/>
                      <w:sz w:val="24"/>
                      <w:szCs w:val="24"/>
                    </w:rPr>
                    <w:t>2.3. Citi noteikumi:</w:t>
                  </w:r>
                </w:p>
                <w:p>
                  <w:pPr>
                    <w:pStyle w:val="NoSpacing"/>
                    <w:tabs>
                      <w:tab w:val="clear" w:pos="720"/>
                      <w:tab w:val="left" w:pos="440" w:leader="none"/>
                      <w:tab w:val="left" w:pos="567" w:leader="none"/>
                    </w:tabs>
                    <w:spacing w:lineRule="auto" w:line="240" w:before="0" w:after="0"/>
                    <w:jc w:val="both"/>
                    <w:rPr>
                      <w:sz w:val="24"/>
                      <w:szCs w:val="24"/>
                    </w:rPr>
                  </w:pPr>
                  <w:r>
                    <w:rPr>
                      <w:rFonts w:eastAsia="Helvetica"/>
                      <w:b w:val="false"/>
                      <w:bCs w:val="false"/>
                      <w:color w:val="000000"/>
                      <w:sz w:val="24"/>
                      <w:szCs w:val="24"/>
                    </w:rPr>
                    <w:t xml:space="preserve">Pretendentam piedāvājumu jāiesniedz par visu iepirkuma priekšmeta apjomu.  </w:t>
                  </w:r>
                  <w:r>
                    <w:rPr>
                      <w:b w:val="false"/>
                      <w:bCs w:val="false"/>
                      <w:sz w:val="24"/>
                      <w:szCs w:val="24"/>
                    </w:rPr>
                    <w:t>Pretendents nevar iesniegt piedāvājuma variantus.</w:t>
                  </w:r>
                </w:p>
                <w:p>
                  <w:pPr>
                    <w:pStyle w:val="Pamatteksts"/>
                    <w:tabs>
                      <w:tab w:val="clear" w:pos="720"/>
                      <w:tab w:val="left" w:pos="440" w:leader="none"/>
                      <w:tab w:val="left" w:pos="567" w:leader="none"/>
                    </w:tabs>
                    <w:spacing w:lineRule="auto" w:line="240" w:before="0" w:after="0"/>
                    <w:jc w:val="left"/>
                    <w:rPr>
                      <w:sz w:val="24"/>
                      <w:szCs w:val="24"/>
                    </w:rPr>
                  </w:pPr>
                  <w:r>
                    <w:rPr>
                      <w:sz w:val="24"/>
                      <w:szCs w:val="24"/>
                    </w:rPr>
                  </w:r>
                </w:p>
              </w:tc>
            </w:tr>
            <w:tr>
              <w:trPr/>
              <w:tc>
                <w:tcPr>
                  <w:tcW w:w="8768" w:type="dxa"/>
                  <w:tcBorders/>
                  <w:shd w:fill="auto" w:val="clear"/>
                </w:tcPr>
                <w:p>
                  <w:pPr>
                    <w:pStyle w:val="Normal"/>
                    <w:tabs>
                      <w:tab w:val="clear" w:pos="720"/>
                      <w:tab w:val="left" w:pos="1134" w:leader="none"/>
                    </w:tabs>
                    <w:spacing w:lineRule="auto" w:line="240" w:before="0" w:after="0"/>
                    <w:rPr>
                      <w:sz w:val="24"/>
                      <w:szCs w:val="24"/>
                    </w:rPr>
                  </w:pPr>
                  <w:r>
                    <w:rPr>
                      <w:rFonts w:cs="Times New Roman" w:ascii="Times New Roman" w:hAnsi="Times New Roman"/>
                      <w:b/>
                      <w:sz w:val="24"/>
                      <w:szCs w:val="24"/>
                    </w:rPr>
                    <w:t>2.4. Līguma izpildes termiņš:</w:t>
                  </w:r>
                </w:p>
                <w:p>
                  <w:pPr>
                    <w:pStyle w:val="Normal"/>
                    <w:tabs>
                      <w:tab w:val="clear" w:pos="720"/>
                      <w:tab w:val="left" w:pos="1134" w:leader="none"/>
                    </w:tabs>
                    <w:spacing w:lineRule="auto" w:line="240" w:before="0" w:after="0"/>
                    <w:rPr>
                      <w:sz w:val="24"/>
                      <w:szCs w:val="24"/>
                    </w:rPr>
                  </w:pPr>
                  <w:r>
                    <w:rPr>
                      <w:rFonts w:cs="Times New Roman" w:ascii="Times New Roman" w:hAnsi="Times New Roman"/>
                      <w:b/>
                      <w:sz w:val="24"/>
                      <w:szCs w:val="24"/>
                    </w:rPr>
                    <w:t>12 (divpadsmit) mēneši</w:t>
                  </w:r>
                  <w:r>
                    <w:rPr>
                      <w:rFonts w:cs="Times New Roman" w:ascii="Times New Roman" w:hAnsi="Times New Roman"/>
                      <w:sz w:val="24"/>
                      <w:szCs w:val="24"/>
                    </w:rPr>
                    <w:t xml:space="preserve"> no līguma noslēgšanas brīža.  </w:t>
                  </w:r>
                  <w:r>
                    <w:rPr>
                      <w:rFonts w:cs="Times New Roman" w:ascii="Times New Roman" w:hAnsi="Times New Roman"/>
                      <w:color w:val="FF0000"/>
                      <w:sz w:val="24"/>
                      <w:szCs w:val="24"/>
                      <w:shd w:fill="FFFFFF" w:val="clear"/>
                    </w:rPr>
                    <w:t xml:space="preserve"> </w:t>
                  </w:r>
                </w:p>
                <w:p>
                  <w:pPr>
                    <w:pStyle w:val="Normal"/>
                    <w:tabs>
                      <w:tab w:val="clear" w:pos="720"/>
                      <w:tab w:val="left" w:pos="1134" w:leader="none"/>
                    </w:tabs>
                    <w:spacing w:lineRule="auto" w:line="240" w:before="0" w:after="0"/>
                    <w:rPr>
                      <w:rFonts w:ascii="Times New Roman" w:hAnsi="Times New Roman" w:cs="Times New Roman"/>
                      <w:color w:val="FF0000"/>
                      <w:sz w:val="24"/>
                      <w:szCs w:val="24"/>
                      <w:highlight w:val="white"/>
                    </w:rPr>
                  </w:pPr>
                  <w:r>
                    <w:rPr>
                      <w:rFonts w:cs="Times New Roman" w:ascii="Times New Roman" w:hAnsi="Times New Roman"/>
                      <w:color w:val="FF0000"/>
                      <w:sz w:val="24"/>
                      <w:szCs w:val="24"/>
                      <w:highlight w:val="white"/>
                    </w:rPr>
                  </w:r>
                </w:p>
              </w:tc>
            </w:tr>
          </w:tbl>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Style w:val="TableGrid"/>
        <w:tblW w:w="9450" w:type="dxa"/>
        <w:jc w:val="left"/>
        <w:tblInd w:w="198" w:type="dxa"/>
        <w:tblCellMar>
          <w:top w:w="0" w:type="dxa"/>
          <w:left w:w="108" w:type="dxa"/>
          <w:bottom w:w="0" w:type="dxa"/>
          <w:right w:w="108" w:type="dxa"/>
        </w:tblCellMar>
        <w:tblLook w:firstRow="1" w:noVBand="1" w:lastRow="0" w:firstColumn="1" w:lastColumn="0" w:noHBand="0" w:val="04a0"/>
      </w:tblPr>
      <w:tblGrid>
        <w:gridCol w:w="9450"/>
      </w:tblGrid>
      <w:tr>
        <w:trPr>
          <w:trHeight w:val="4535" w:hRule="atLeast"/>
        </w:trPr>
        <w:tc>
          <w:tcPr>
            <w:tcW w:w="9450" w:type="dxa"/>
            <w:tcBorders>
              <w:top w:val="nil"/>
              <w:left w:val="nil"/>
              <w:bottom w:val="nil"/>
              <w:right w:val="nil"/>
              <w:insideH w:val="nil"/>
              <w:insideV w:val="nil"/>
            </w:tcBorders>
            <w:shd w:fill="auto" w:val="clear"/>
          </w:tcPr>
          <w:p>
            <w:pPr>
              <w:pStyle w:val="NoSpacing"/>
              <w:spacing w:before="0" w:after="0"/>
              <w:jc w:val="center"/>
              <w:rPr>
                <w:sz w:val="24"/>
                <w:szCs w:val="24"/>
              </w:rPr>
            </w:pPr>
            <w:r>
              <w:rPr>
                <w:sz w:val="24"/>
                <w:szCs w:val="24"/>
              </w:rPr>
              <w:t xml:space="preserve"> </w:t>
            </w:r>
            <w:r>
              <w:rPr>
                <w:b/>
                <w:sz w:val="24"/>
                <w:szCs w:val="24"/>
              </w:rPr>
              <w:t>3. SADAĻA</w:t>
            </w:r>
          </w:p>
          <w:p>
            <w:pPr>
              <w:pStyle w:val="NoSpacing"/>
              <w:spacing w:before="0" w:after="0"/>
              <w:jc w:val="center"/>
              <w:rPr>
                <w:b/>
                <w:b/>
                <w:sz w:val="22"/>
                <w:szCs w:val="22"/>
              </w:rPr>
            </w:pPr>
            <w:r>
              <w:rPr>
                <w:b/>
                <w:sz w:val="24"/>
                <w:szCs w:val="24"/>
              </w:rPr>
              <w:t>PRASĪBAS PRETENDENTIEM UN IESNIEDZAMIE DOKUMENTI</w:t>
            </w:r>
          </w:p>
          <w:p>
            <w:pPr>
              <w:pStyle w:val="Pamatteksts"/>
              <w:tabs>
                <w:tab w:val="clear" w:pos="720"/>
                <w:tab w:val="left" w:pos="567" w:leader="none"/>
                <w:tab w:val="left" w:pos="851" w:leader="none"/>
              </w:tabs>
              <w:spacing w:before="0" w:after="0"/>
              <w:rPr>
                <w:sz w:val="24"/>
                <w:szCs w:val="24"/>
              </w:rPr>
            </w:pPr>
            <w:r>
              <w:rPr>
                <w:sz w:val="24"/>
                <w:szCs w:val="24"/>
              </w:rPr>
            </w:r>
          </w:p>
          <w:tbl>
            <w:tblPr>
              <w:tblW w:w="9207" w:type="dxa"/>
              <w:jc w:val="left"/>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649"/>
              <w:gridCol w:w="4557"/>
            </w:tblGrid>
            <w:tr>
              <w:trPr/>
              <w:tc>
                <w:tcPr>
                  <w:tcW w:w="4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rPr>
                  </w:pPr>
                  <w:r>
                    <w:rPr>
                      <w:rFonts w:cs="Times New Roman" w:ascii="Times New Roman" w:hAnsi="Times New Roman"/>
                      <w:b/>
                      <w:bCs/>
                      <w:sz w:val="24"/>
                      <w:szCs w:val="24"/>
                    </w:rPr>
                    <w:t>Prasība:</w:t>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rPr>
                  </w:pPr>
                  <w:r>
                    <w:rPr>
                      <w:rFonts w:cs="Times New Roman" w:ascii="Times New Roman" w:hAnsi="Times New Roman"/>
                      <w:b/>
                      <w:bCs/>
                      <w:sz w:val="24"/>
                      <w:szCs w:val="24"/>
                    </w:rPr>
                    <w:t>Iesniedzamais dokuments:</w:t>
                  </w:r>
                </w:p>
              </w:tc>
            </w:tr>
            <w:tr>
              <w:trPr/>
              <w:tc>
                <w:tcPr>
                  <w:tcW w:w="4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eastAsia="Helvetica"/>
                      <w:b/>
                      <w:b/>
                      <w:sz w:val="22"/>
                      <w:szCs w:val="22"/>
                    </w:rPr>
                  </w:pPr>
                  <w:r>
                    <w:rPr>
                      <w:rFonts w:eastAsia="Helvetica"/>
                      <w:b/>
                      <w:sz w:val="24"/>
                      <w:szCs w:val="24"/>
                    </w:rPr>
                    <w:t>3.1.</w:t>
                  </w:r>
                  <w:r>
                    <w:rPr>
                      <w:rFonts w:eastAsia="Helvetica"/>
                      <w:sz w:val="24"/>
                      <w:szCs w:val="24"/>
                    </w:rPr>
                    <w:t xml:space="preserve"> </w:t>
                  </w:r>
                  <w:r>
                    <w:rPr>
                      <w:rFonts w:eastAsia="Helvetica"/>
                      <w:b/>
                      <w:sz w:val="24"/>
                      <w:szCs w:val="24"/>
                    </w:rPr>
                    <w:t>Pretendents</w:t>
                  </w:r>
                  <w:r>
                    <w:rPr>
                      <w:rFonts w:eastAsia="Helvetica"/>
                      <w:sz w:val="24"/>
                      <w:szCs w:val="24"/>
                    </w:rPr>
                    <w:t> ir piegādātājs, kurš ir iesniedzis piedāvājumu.</w:t>
                  </w:r>
                  <w:r>
                    <w:rPr>
                      <w:rFonts w:eastAsia="Helvetica"/>
                      <w:b/>
                      <w:sz w:val="24"/>
                      <w:szCs w:val="24"/>
                    </w:rPr>
                    <w:t xml:space="preserve"> Piegādātājs</w:t>
                  </w:r>
                  <w:r>
                    <w:rPr>
                      <w:rFonts w:eastAsia="Helvetica"/>
                      <w:sz w:val="24"/>
                      <w:szCs w:val="24"/>
                    </w:rPr>
                    <w:t> var būt fiziskā vai juridiskā persona vai pasūtītājs, šādu personu apvienība jebkurā to kombinācijā, kas attiecīgi piedāvā tirgū veikt būvdarbus, piegādāt preces vai sniegt pakalpojumus.</w:t>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color w:val="auto"/>
                      <w:sz w:val="24"/>
                      <w:szCs w:val="24"/>
                    </w:rPr>
                  </w:pPr>
                  <w:r>
                    <w:rPr>
                      <w:b/>
                      <w:color w:val="auto"/>
                      <w:sz w:val="24"/>
                      <w:szCs w:val="24"/>
                    </w:rPr>
                    <w:t>a)</w:t>
                  </w:r>
                  <w:r>
                    <w:rPr>
                      <w:color w:val="auto"/>
                      <w:sz w:val="24"/>
                      <w:szCs w:val="24"/>
                    </w:rPr>
                    <w:t xml:space="preserve"> Pieteikums dalībai iepirkumā (pēc formas – nolikuma 1.pielikums),</w:t>
                  </w:r>
                </w:p>
                <w:p>
                  <w:pPr>
                    <w:pStyle w:val="NoSpacing"/>
                    <w:jc w:val="both"/>
                    <w:rPr>
                      <w:rFonts w:ascii="Times New Roman" w:hAnsi="Times New Roman"/>
                      <w:color w:val="auto"/>
                      <w:sz w:val="24"/>
                      <w:szCs w:val="24"/>
                    </w:rPr>
                  </w:pPr>
                  <w:r>
                    <w:rPr>
                      <w:b/>
                      <w:color w:val="auto"/>
                      <w:sz w:val="24"/>
                      <w:szCs w:val="24"/>
                    </w:rPr>
                    <w:t>b)</w:t>
                  </w:r>
                  <w:r>
                    <w:rPr>
                      <w:color w:val="auto"/>
                      <w:sz w:val="24"/>
                      <w:szCs w:val="24"/>
                    </w:rPr>
                    <w:t xml:space="preserve"> Tehniskā specifikācija (pēc formas – nolikuma 3.pielikums),</w:t>
                  </w:r>
                </w:p>
                <w:p>
                  <w:pPr>
                    <w:pStyle w:val="NoSpacing"/>
                    <w:rPr>
                      <w:rFonts w:ascii="Times New Roman" w:hAnsi="Times New Roman"/>
                      <w:color w:val="auto"/>
                      <w:sz w:val="24"/>
                      <w:szCs w:val="24"/>
                    </w:rPr>
                  </w:pPr>
                  <w:r>
                    <w:rPr>
                      <w:b/>
                      <w:color w:val="auto"/>
                      <w:sz w:val="24"/>
                      <w:szCs w:val="24"/>
                    </w:rPr>
                    <w:t>c)</w:t>
                  </w:r>
                  <w:r>
                    <w:rPr>
                      <w:color w:val="auto"/>
                      <w:sz w:val="24"/>
                      <w:szCs w:val="24"/>
                    </w:rPr>
                    <w:t xml:space="preserve"> Finanšu piedāvājums (pēc formas – nolikuma 2.pielikums).</w:t>
                  </w:r>
                </w:p>
                <w:p>
                  <w:pPr>
                    <w:pStyle w:val="NoSpacing"/>
                    <w:jc w:val="both"/>
                    <w:rPr>
                      <w:rFonts w:ascii="Times New Roman" w:hAnsi="Times New Roman"/>
                      <w:sz w:val="24"/>
                      <w:szCs w:val="24"/>
                    </w:rPr>
                  </w:pPr>
                  <w:r>
                    <w:rPr>
                      <w:sz w:val="24"/>
                      <w:szCs w:val="24"/>
                    </w:rPr>
                  </w:r>
                </w:p>
              </w:tc>
            </w:tr>
            <w:tr>
              <w:trPr/>
              <w:tc>
                <w:tcPr>
                  <w:tcW w:w="4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sz w:val="22"/>
                      <w:szCs w:val="22"/>
                    </w:rPr>
                  </w:pPr>
                  <w:r>
                    <w:rPr>
                      <w:b/>
                      <w:sz w:val="24"/>
                      <w:szCs w:val="24"/>
                    </w:rPr>
                    <w:t xml:space="preserve">3.2. </w:t>
                  </w:r>
                  <w:r>
                    <w:rPr>
                      <w:sz w:val="24"/>
                      <w:szCs w:val="24"/>
                    </w:rPr>
                    <w:t>Piegādātājs var balstīties uz citu personu saimnieciskajām un finansiālajām iespējām, ja tas ir nepieciešams konkrētā līguma izpildei, neatkarīgi no savstarpējo attiecību tiesiskā rakstura.</w:t>
                  </w:r>
                </w:p>
                <w:p>
                  <w:pPr>
                    <w:pStyle w:val="NoSpacing"/>
                    <w:jc w:val="both"/>
                    <w:rPr>
                      <w:rFonts w:eastAsia="Helvetica"/>
                      <w:b/>
                      <w:b/>
                      <w:sz w:val="22"/>
                      <w:szCs w:val="22"/>
                    </w:rPr>
                  </w:pPr>
                  <w:r>
                    <w:rPr>
                      <w:sz w:val="24"/>
                      <w:szCs w:val="24"/>
                      <w:u w:val="single"/>
                    </w:rPr>
                    <w:t>Šajā gadījumā piegādātājs un persona, uz kuras saimnieciskajām un finansiālajām iespējām tas balstās, ir solidāri atbildīgi par iepirkuma līguma izpildi.</w:t>
                  </w:r>
                  <w:r>
                    <w:rPr>
                      <w:sz w:val="24"/>
                      <w:szCs w:val="24"/>
                    </w:rPr>
                    <w:t xml:space="preserve"> </w:t>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numPr>
                      <w:ilvl w:val="0"/>
                      <w:numId w:val="3"/>
                    </w:numPr>
                    <w:suppressAutoHyphens w:val="false"/>
                    <w:ind w:left="0" w:firstLine="34"/>
                    <w:jc w:val="both"/>
                    <w:rPr>
                      <w:sz w:val="22"/>
                      <w:szCs w:val="22"/>
                    </w:rPr>
                  </w:pPr>
                  <w:r>
                    <w:rPr>
                      <w:sz w:val="24"/>
                      <w:szCs w:val="24"/>
                    </w:rPr>
                    <w:t>Pretendents pierāda Komisijai, ka viņa rīcībā būs nepieciešamie resursi, iesniedzot, piemēram, šo personu apliecinājumu vai vienošanos par sadarbību konkrētā līguma izpildē.</w:t>
                  </w:r>
                </w:p>
                <w:p>
                  <w:pPr>
                    <w:pStyle w:val="NoSpacing"/>
                    <w:numPr>
                      <w:ilvl w:val="0"/>
                      <w:numId w:val="3"/>
                    </w:numPr>
                    <w:suppressAutoHyphens w:val="false"/>
                    <w:ind w:left="0" w:firstLine="34"/>
                    <w:jc w:val="both"/>
                    <w:rPr>
                      <w:sz w:val="22"/>
                      <w:szCs w:val="22"/>
                    </w:rPr>
                  </w:pPr>
                  <w:r>
                    <w:rPr>
                      <w:sz w:val="24"/>
                      <w:szCs w:val="24"/>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trPr/>
              <w:tc>
                <w:tcPr>
                  <w:tcW w:w="4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sz w:val="22"/>
                      <w:szCs w:val="22"/>
                    </w:rPr>
                  </w:pPr>
                  <w:r>
                    <w:rPr>
                      <w:b/>
                      <w:sz w:val="24"/>
                      <w:szCs w:val="24"/>
                    </w:rPr>
                    <w:t xml:space="preserve">3.3. </w:t>
                  </w:r>
                  <w:r>
                    <w:rPr>
                      <w:sz w:val="24"/>
                      <w:szCs w:val="24"/>
                    </w:rPr>
                    <w:t xml:space="preserve">Piegādātājs var balstīties uz citu personu tehniskajām un profesionālajām iespējām, ja tas ir nepieciešams konkrētā iepirkuma līguma izpildei, neatkarīgi no savstarpējo attiecību tiesiskā rakstura. </w:t>
                  </w:r>
                </w:p>
                <w:p>
                  <w:pPr>
                    <w:pStyle w:val="NoSpacing"/>
                    <w:jc w:val="both"/>
                    <w:rPr>
                      <w:rFonts w:eastAsia="Helvetica"/>
                      <w:b/>
                      <w:b/>
                      <w:sz w:val="22"/>
                      <w:szCs w:val="22"/>
                    </w:rPr>
                  </w:pPr>
                  <w:r>
                    <w:rPr>
                      <w:sz w:val="24"/>
                      <w:szCs w:val="24"/>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sz w:val="22"/>
                      <w:szCs w:val="22"/>
                    </w:rPr>
                  </w:pPr>
                  <w:r>
                    <w:rPr>
                      <w:sz w:val="24"/>
                      <w:szCs w:val="24"/>
                    </w:rPr>
                    <w:t>Pretendents pierāda Komisijai, ka tā rīcībā būs nepieciešamie resursi, iesniedzot šo personu apliecinājumu vai vienošanos par nepieciešamo resursu nodošanu piegādātāja rīcībā.</w:t>
                  </w:r>
                </w:p>
              </w:tc>
            </w:tr>
            <w:tr>
              <w:trPr/>
              <w:tc>
                <w:tcPr>
                  <w:tcW w:w="4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sz w:val="22"/>
                      <w:szCs w:val="22"/>
                    </w:rPr>
                  </w:pPr>
                  <w:r>
                    <w:rPr>
                      <w:b/>
                      <w:sz w:val="24"/>
                      <w:szCs w:val="24"/>
                    </w:rPr>
                    <w:t xml:space="preserve">3.4. </w:t>
                  </w:r>
                  <w:r>
                    <w:rPr>
                      <w:sz w:val="24"/>
                      <w:szCs w:val="24"/>
                    </w:rPr>
                    <w:t>Ja piedāvājumu iesniedz piegādātāju apvienība, piedāvājuma dokumentus paraksta atbilstoši piegādātāju savstarpējās vienošanās nosacījumiem.</w:t>
                  </w:r>
                  <w:r>
                    <w:rPr>
                      <w:b/>
                      <w:sz w:val="24"/>
                      <w:szCs w:val="24"/>
                    </w:rPr>
                    <w:t xml:space="preserve"> </w:t>
                  </w:r>
                </w:p>
              </w:tc>
              <w:tc>
                <w:tcPr>
                  <w:tcW w:w="455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sz w:val="22"/>
                      <w:szCs w:val="22"/>
                    </w:rPr>
                  </w:pPr>
                  <w:r>
                    <w:rPr>
                      <w:sz w:val="24"/>
                      <w:szCs w:val="24"/>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trPr/>
              <w:tc>
                <w:tcPr>
                  <w:tcW w:w="4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sz w:val="24"/>
                      <w:szCs w:val="24"/>
                    </w:rPr>
                  </w:pPr>
                  <w:r>
                    <w:rPr>
                      <w:b/>
                      <w:sz w:val="24"/>
                      <w:szCs w:val="24"/>
                    </w:rPr>
                    <w:t>3.5.</w:t>
                  </w:r>
                  <w:r>
                    <w:rPr>
                      <w:sz w:val="24"/>
                      <w:szCs w:val="24"/>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p>
                  <w:pPr>
                    <w:pStyle w:val="NoSpacing"/>
                    <w:jc w:val="both"/>
                    <w:rPr>
                      <w:rFonts w:eastAsia="Helvetica"/>
                      <w:sz w:val="22"/>
                      <w:szCs w:val="22"/>
                    </w:rPr>
                  </w:pPr>
                  <w:r>
                    <w:rPr>
                      <w:rFonts w:eastAsia="Helvetica"/>
                      <w:sz w:val="22"/>
                      <w:szCs w:val="22"/>
                    </w:rPr>
                  </w:r>
                </w:p>
              </w:tc>
              <w:tc>
                <w:tcPr>
                  <w:tcW w:w="455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sz w:val="24"/>
                      <w:szCs w:val="24"/>
                    </w:rPr>
                  </w:pPr>
                  <w:r>
                    <w:rPr>
                      <w:sz w:val="24"/>
                      <w:szCs w:val="24"/>
                    </w:rPr>
                  </w:r>
                </w:p>
              </w:tc>
            </w:tr>
            <w:tr>
              <w:trPr/>
              <w:tc>
                <w:tcPr>
                  <w:tcW w:w="4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sz w:val="22"/>
                      <w:szCs w:val="22"/>
                    </w:rPr>
                  </w:pPr>
                  <w:r>
                    <w:rPr>
                      <w:rFonts w:eastAsia="TimesNewRomanPSMT"/>
                      <w:b/>
                      <w:sz w:val="24"/>
                      <w:szCs w:val="24"/>
                    </w:rPr>
                    <w:t>3.6.</w:t>
                  </w:r>
                  <w:r>
                    <w:rPr>
                      <w:rFonts w:eastAsia="TimesNewRomanPSMT"/>
                      <w:sz w:val="24"/>
                      <w:szCs w:val="24"/>
                    </w:rPr>
                    <w:t xml:space="preserve"> </w:t>
                  </w:r>
                  <w:r>
                    <w:rPr>
                      <w:rFonts w:eastAsia="Arial"/>
                      <w:kern w:val="2"/>
                      <w:sz w:val="24"/>
                      <w:szCs w:val="24"/>
                    </w:rPr>
                    <w:t>Uz pretendentu neattiecas Publisko iepirkumu likuma 9. panta astotajā daļā noteiktie izslēgšanas nosacījumi.</w:t>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sz w:val="24"/>
                      <w:szCs w:val="24"/>
                    </w:rPr>
                  </w:pPr>
                  <w:r>
                    <w:rPr>
                      <w:rFonts w:eastAsia="Arial"/>
                      <w:kern w:val="2"/>
                      <w:sz w:val="24"/>
                      <w:szCs w:val="24"/>
                    </w:rPr>
                    <w:t>Komisija pārbauda, ievērojot Publisko iepirkumu likuma 9.pantā noteikto kārtību.</w:t>
                  </w:r>
                </w:p>
              </w:tc>
            </w:tr>
            <w:tr>
              <w:trPr/>
              <w:tc>
                <w:tcPr>
                  <w:tcW w:w="4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sz w:val="22"/>
                      <w:szCs w:val="22"/>
                    </w:rPr>
                  </w:pPr>
                  <w:r>
                    <w:rPr>
                      <w:b/>
                      <w:sz w:val="24"/>
                      <w:szCs w:val="24"/>
                    </w:rPr>
                    <w:t>3.7.</w:t>
                  </w:r>
                  <w:r>
                    <w:rPr>
                      <w:sz w:val="24"/>
                      <w:szCs w:val="24"/>
                    </w:rPr>
                    <w:t xml:space="preserve"> Pretendents ir reģistrēts, licencēts un/vai sertificēts atbilstoši attiecīgās valsts normatīvo aktu prasībām, tiesīgs veikt Pasūtītājam nepieciešamo piegādi.</w:t>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jc w:val="both"/>
                    <w:rPr/>
                  </w:pPr>
                  <w:r>
                    <w:rPr>
                      <w:b w:val="false"/>
                      <w:bCs w:val="false"/>
                      <w:sz w:val="24"/>
                      <w:szCs w:val="24"/>
                    </w:rPr>
                    <w:t>a)</w:t>
                  </w:r>
                  <w:r>
                    <w:rPr>
                      <w:sz w:val="24"/>
                      <w:szCs w:val="24"/>
                    </w:rPr>
                    <w:t>Komisija pārliecinās par pretendenta reģistrācijas faktu, saņemot izziņas Elektronisko iepirkumu sistēmā (</w:t>
                  </w:r>
                  <w:hyperlink r:id="rId6">
                    <w:r>
                      <w:rPr>
                        <w:rStyle w:val="Internetasaite"/>
                        <w:sz w:val="24"/>
                        <w:szCs w:val="24"/>
                      </w:rPr>
                      <w:t>https://www.eis.gov.lv/</w:t>
                    </w:r>
                  </w:hyperlink>
                  <w:r>
                    <w:rPr>
                      <w:sz w:val="24"/>
                      <w:szCs w:val="24"/>
                    </w:rPr>
                    <w:t xml:space="preserve">). </w:t>
                  </w:r>
                </w:p>
                <w:p>
                  <w:pPr>
                    <w:pStyle w:val="NoSpacing"/>
                    <w:spacing w:lineRule="auto" w:line="240"/>
                    <w:jc w:val="both"/>
                    <w:rPr/>
                  </w:pPr>
                  <w:r>
                    <w:rPr>
                      <w:sz w:val="24"/>
                      <w:szCs w:val="24"/>
                    </w:rPr>
                    <w:t xml:space="preserve">b) Informāciju par Latvijā reģistrēta pretendenta atļaujas (licences) spēkā esību Komisija iegūs Valsts ieņēmumu dienesta publiskajā datubāzē </w:t>
                  </w:r>
                  <w:hyperlink r:id="rId7">
                    <w:r>
                      <w:rPr>
                        <w:rStyle w:val="Internetasaite"/>
                        <w:sz w:val="24"/>
                        <w:szCs w:val="24"/>
                      </w:rPr>
                      <w:t>https://www6.vid.gov.lv/</w:t>
                    </w:r>
                  </w:hyperlink>
                </w:p>
                <w:p>
                  <w:pPr>
                    <w:pStyle w:val="NoSpacing"/>
                    <w:spacing w:lineRule="auto" w:line="240"/>
                    <w:jc w:val="both"/>
                    <w:rPr>
                      <w:rFonts w:ascii="Times New Roman" w:hAnsi="Times New Roman"/>
                      <w:sz w:val="24"/>
                      <w:szCs w:val="24"/>
                    </w:rPr>
                  </w:pPr>
                  <w:r>
                    <w:rPr>
                      <w:sz w:val="24"/>
                      <w:szCs w:val="24"/>
                    </w:rPr>
                    <w:t>c)</w:t>
                  </w:r>
                  <w:r>
                    <w:rPr>
                      <w:rFonts w:eastAsia="Times New Roman" w:cs="Times New Roman"/>
                      <w:sz w:val="24"/>
                      <w:szCs w:val="24"/>
                      <w:lang w:eastAsia="lv-LV"/>
                    </w:rPr>
                    <w:t>Ārvalstī reģistrētam pretendentam, kas nav reģistrēts Uzņēmumu reģistrā, jāpievieno attiecīgos faktus apliecinoši dokumenti (kopijas) un</w:t>
                  </w:r>
                  <w:r>
                    <w:rPr>
                      <w:sz w:val="24"/>
                      <w:szCs w:val="24"/>
                    </w:rPr>
                    <w:t xml:space="preserve"> apliecinātu speciālās atļaujas (licences) naftas produktu vairumtirdzniecībai kopiju.</w:t>
                  </w:r>
                </w:p>
                <w:p>
                  <w:pPr>
                    <w:pStyle w:val="ListParagraph"/>
                    <w:tabs>
                      <w:tab w:val="clear" w:pos="720"/>
                      <w:tab w:val="left" w:pos="317" w:leader="none"/>
                    </w:tabs>
                    <w:spacing w:lineRule="auto" w:line="240" w:before="0" w:after="0"/>
                    <w:ind w:left="34" w:hanging="0"/>
                    <w:contextualSpacing/>
                    <w:jc w:val="both"/>
                    <w:rPr>
                      <w:rFonts w:ascii="Times New Roman" w:hAnsi="Times New Roman"/>
                      <w:sz w:val="24"/>
                      <w:szCs w:val="24"/>
                    </w:rPr>
                  </w:pPr>
                  <w:r>
                    <w:rPr>
                      <w:rFonts w:ascii="Times New Roman" w:hAnsi="Times New Roman"/>
                      <w:sz w:val="24"/>
                      <w:szCs w:val="24"/>
                    </w:rPr>
                  </w:r>
                </w:p>
              </w:tc>
            </w:tr>
            <w:tr>
              <w:trPr/>
              <w:tc>
                <w:tcPr>
                  <w:tcW w:w="4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b/>
                      <w:sz w:val="24"/>
                      <w:szCs w:val="24"/>
                    </w:rPr>
                    <w:t>3.8.</w:t>
                  </w:r>
                  <w:r>
                    <w:rPr>
                      <w:rFonts w:cs="Times New Roman" w:ascii="Times New Roman" w:hAnsi="Times New Roman"/>
                      <w:sz w:val="24"/>
                      <w:szCs w:val="24"/>
                    </w:rPr>
                    <w:t>Pretendenta rīcībā ir visi nepieciešamie resursi savlaicīgai un kvalitatīvai līguma izpildei.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sz w:val="22"/>
                      <w:szCs w:val="22"/>
                    </w:rPr>
                  </w:pPr>
                  <w:r>
                    <w:rPr>
                      <w:sz w:val="24"/>
                      <w:szCs w:val="24"/>
                    </w:rPr>
                    <w:t>Informācija par līguma izpildi (pēc formas –  nolikum</w:t>
                  </w:r>
                  <w:r>
                    <w:rPr>
                      <w:color w:val="auto"/>
                      <w:sz w:val="24"/>
                      <w:szCs w:val="24"/>
                    </w:rPr>
                    <w:t>a 4.pieliku</w:t>
                  </w:r>
                  <w:r>
                    <w:rPr>
                      <w:sz w:val="24"/>
                      <w:szCs w:val="24"/>
                    </w:rPr>
                    <w:t xml:space="preserve">ms), kur pretendents norāda: </w:t>
                  </w:r>
                </w:p>
                <w:p>
                  <w:pPr>
                    <w:pStyle w:val="NoSpacing"/>
                    <w:jc w:val="both"/>
                    <w:rPr>
                      <w:sz w:val="22"/>
                      <w:szCs w:val="22"/>
                    </w:rPr>
                  </w:pPr>
                  <w:r>
                    <w:rPr>
                      <w:b/>
                      <w:sz w:val="24"/>
                      <w:szCs w:val="24"/>
                    </w:rPr>
                    <w:t>a)</w:t>
                  </w:r>
                  <w:r>
                    <w:rPr>
                      <w:sz w:val="24"/>
                      <w:szCs w:val="24"/>
                    </w:rPr>
                    <w:t xml:space="preserve"> vai līguma izpildei plānots piesaistīt apakšuzņēmējus (</w:t>
                  </w:r>
                  <w:r>
                    <w:rPr>
                      <w:i/>
                      <w:sz w:val="24"/>
                      <w:szCs w:val="24"/>
                    </w:rPr>
                    <w:t>sniedz informāciju par līguma izpildei piesaistītajiem apakšuzņēmējiem</w:t>
                  </w:r>
                  <w:r>
                    <w:rPr>
                      <w:sz w:val="24"/>
                      <w:szCs w:val="24"/>
                    </w:rPr>
                    <w:t xml:space="preserve">), </w:t>
                  </w:r>
                </w:p>
                <w:p>
                  <w:pPr>
                    <w:pStyle w:val="NoSpacing"/>
                    <w:jc w:val="both"/>
                    <w:rPr>
                      <w:rFonts w:ascii="Times New Roman" w:hAnsi="Times New Roman"/>
                      <w:sz w:val="24"/>
                      <w:szCs w:val="24"/>
                    </w:rPr>
                  </w:pPr>
                  <w:r>
                    <w:rPr>
                      <w:b/>
                      <w:sz w:val="24"/>
                      <w:szCs w:val="24"/>
                    </w:rPr>
                    <w:t>b)</w:t>
                  </w:r>
                  <w:r>
                    <w:rPr>
                      <w:sz w:val="24"/>
                      <w:szCs w:val="24"/>
                    </w:rPr>
                    <w:t xml:space="preserve"> citus līguma izpildei nepieciešamos resursus.</w:t>
                  </w:r>
                </w:p>
              </w:tc>
            </w:tr>
            <w:tr>
              <w:trPr/>
              <w:tc>
                <w:tcPr>
                  <w:tcW w:w="4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rPr>
                  </w:pPr>
                  <w:r>
                    <w:rPr>
                      <w:rFonts w:cs="Times New Roman" w:ascii="Times New Roman" w:hAnsi="Times New Roman"/>
                      <w:b/>
                      <w:sz w:val="24"/>
                      <w:szCs w:val="24"/>
                    </w:rPr>
                    <w:t xml:space="preserve">3.9. </w:t>
                  </w:r>
                  <w:r>
                    <w:rPr>
                      <w:rFonts w:cs="Times New Roman" w:ascii="Times New Roman" w:hAnsi="Times New Roman"/>
                      <w:sz w:val="24"/>
                      <w:szCs w:val="24"/>
                    </w:rPr>
                    <w:t xml:space="preserve">  Pretendenta tirgū piedāvātā dīzeļdegviela atbilst Ministru kabineta 2000.gada 26.septembra noteikumu Nr.332 „Noteikumi par benzīna un dīzeļdegvielas atbilstības novērtēšanu” prasībām.</w:t>
                  </w:r>
                </w:p>
              </w:tc>
              <w:tc>
                <w:tcPr>
                  <w:tcW w:w="4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cs="Times New Roman" w:ascii="Times New Roman" w:hAnsi="Times New Roman"/>
                      <w:sz w:val="24"/>
                      <w:szCs w:val="24"/>
                    </w:rPr>
                    <w:t>Pievieno dīzeļdegvielas atbilstības sertifikāta apliecinātu kopiju, kas apstiprina tirgū piedāvātā dīzeļdegvielas atbilstību Ministru kabineta 2000.gada 26.septembra noteikumu Nr.332 „Noteikumi par benzīna atbilstības novērtēšanu” prasībām.</w:t>
                  </w:r>
                </w:p>
              </w:tc>
            </w:tr>
          </w:tbl>
          <w:p>
            <w:pPr>
              <w:pStyle w:val="Normal"/>
              <w:spacing w:before="0" w:after="0"/>
              <w:rPr>
                <w:rFonts w:ascii="Times New Roman" w:hAnsi="Times New Roman" w:cs="Times New Roman"/>
                <w:b/>
                <w:b/>
              </w:rPr>
            </w:pPr>
            <w:r>
              <w:rPr>
                <w:rFonts w:cs="Times New Roman" w:ascii="Times New Roman" w:hAnsi="Times New Roman"/>
                <w:b/>
              </w:rPr>
            </w:r>
          </w:p>
        </w:tc>
      </w:tr>
      <w:tr>
        <w:trPr/>
        <w:tc>
          <w:tcPr>
            <w:tcW w:w="9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Normal"/>
              <w:spacing w:before="0" w:after="0"/>
              <w:jc w:val="center"/>
              <w:rPr>
                <w:sz w:val="24"/>
                <w:szCs w:val="24"/>
              </w:rPr>
            </w:pPr>
            <w:r>
              <w:rPr>
                <w:rFonts w:cs="Times New Roman" w:ascii="Times New Roman" w:hAnsi="Times New Roman"/>
                <w:b/>
                <w:sz w:val="24"/>
                <w:szCs w:val="24"/>
              </w:rPr>
              <w:t>4. SADAĻA</w:t>
            </w:r>
          </w:p>
          <w:p>
            <w:pPr>
              <w:pStyle w:val="Normal"/>
              <w:spacing w:before="0" w:after="0"/>
              <w:jc w:val="center"/>
              <w:rPr>
                <w:rFonts w:ascii="Times New Roman" w:hAnsi="Times New Roman" w:cs="Times New Roman"/>
                <w:b/>
                <w:b/>
              </w:rPr>
            </w:pPr>
            <w:r>
              <w:rPr>
                <w:rFonts w:cs="Times New Roman" w:ascii="Times New Roman" w:hAnsi="Times New Roman"/>
                <w:b/>
                <w:sz w:val="24"/>
                <w:szCs w:val="24"/>
              </w:rPr>
              <w:t>PIEDĀVĀJUMA IZVĒRTĒŠANAS KRITĒRIJS</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Style w:val="Reatabulagaia1"/>
              <w:tblW w:w="9209" w:type="dxa"/>
              <w:jc w:val="left"/>
              <w:tblInd w:w="0" w:type="dxa"/>
              <w:tblCellMar>
                <w:top w:w="55" w:type="dxa"/>
                <w:left w:w="108" w:type="dxa"/>
                <w:bottom w:w="55" w:type="dxa"/>
                <w:right w:w="108" w:type="dxa"/>
              </w:tblCellMar>
              <w:tblLook w:firstRow="1" w:noVBand="1" w:lastRow="0" w:firstColumn="1" w:lastColumn="0" w:noHBand="0" w:val="04a0"/>
            </w:tblPr>
            <w:tblGrid>
              <w:gridCol w:w="9209"/>
            </w:tblGrid>
            <w:tr>
              <w:trPr/>
              <w:tc>
                <w:tcPr>
                  <w:tcW w:w="92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ArialMT" w:cs="Times New Roman"/>
                      <w:iCs/>
                    </w:rPr>
                  </w:pPr>
                  <w:r>
                    <w:rPr>
                      <w:rFonts w:eastAsia="ArialMT" w:cs="Times New Roman" w:ascii="Times New Roman" w:hAnsi="Times New Roman"/>
                      <w:iCs/>
                      <w:sz w:val="24"/>
                      <w:szCs w:val="24"/>
                    </w:rPr>
                    <w:t>4.1. Pamatojoties uz Publisko iepirkumu likuma 51.pantu, Komisija piešķir līguma slēgšanas tiesības saimnieciski visizdevīgākajam piedāvājumam, kuru nos</w:t>
                  </w:r>
                  <w:r>
                    <w:rPr>
                      <w:rFonts w:eastAsia="ArialMT" w:cs="Times New Roman" w:ascii="Times New Roman" w:hAnsi="Times New Roman"/>
                      <w:iCs/>
                      <w:color w:val="auto"/>
                      <w:sz w:val="24"/>
                      <w:szCs w:val="24"/>
                    </w:rPr>
                    <w:t xml:space="preserve">aka, ņemot vērā tikai </w:t>
                  </w:r>
                  <w:r>
                    <w:rPr>
                      <w:rFonts w:eastAsia="ArialMT" w:cs="Times New Roman" w:ascii="Times New Roman" w:hAnsi="Times New Roman"/>
                      <w:b/>
                      <w:iCs/>
                      <w:color w:val="auto"/>
                      <w:sz w:val="24"/>
                      <w:szCs w:val="24"/>
                    </w:rPr>
                    <w:t>piedāvāto kopējo cenu</w:t>
                  </w:r>
                  <w:r>
                    <w:rPr>
                      <w:rFonts w:eastAsia="ArialMT" w:cs="Times New Roman" w:ascii="Times New Roman" w:hAnsi="Times New Roman"/>
                      <w:iCs/>
                      <w:color w:val="auto"/>
                      <w:sz w:val="24"/>
                      <w:szCs w:val="24"/>
                    </w:rPr>
                    <w:t>.</w:t>
                  </w:r>
                </w:p>
                <w:p>
                  <w:pPr>
                    <w:pStyle w:val="Normal"/>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tc>
            </w:tr>
            <w:tr>
              <w:trPr>
                <w:trHeight w:val="169" w:hRule="atLeast"/>
              </w:trPr>
              <w:tc>
                <w:tcPr>
                  <w:tcW w:w="9209" w:type="dxa"/>
                  <w:tcBorders>
                    <w:top w:val="nil"/>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rPr>
                  </w:pPr>
                  <w:r>
                    <w:rPr>
                      <w:rFonts w:eastAsia="ArialMT" w:cs="Times New Roman" w:ascii="Times New Roman" w:hAnsi="Times New Roman"/>
                      <w:iCs/>
                      <w:sz w:val="24"/>
                      <w:szCs w:val="24"/>
                    </w:rPr>
                    <w:t>4.2. Komisija izvēlas piedāvājumu ar viszemāko cenu, kas atbilst nolikuma un tā pielikumu prasībām, nav atzīts par nepamatoti lētu</w:t>
                  </w:r>
                  <w:r>
                    <w:rPr>
                      <w:rFonts w:cs="Times New Roman" w:ascii="Times New Roman" w:hAnsi="Times New Roman"/>
                      <w:sz w:val="24"/>
                      <w:szCs w:val="24"/>
                    </w:rPr>
                    <w:t>.</w:t>
                  </w:r>
                </w:p>
                <w:p>
                  <w:pPr>
                    <w:pStyle w:val="Normal"/>
                    <w:spacing w:lineRule="auto" w:line="240" w:before="0" w:after="0"/>
                    <w:jc w:val="both"/>
                    <w:rPr>
                      <w:rFonts w:ascii="Times New Roman" w:hAnsi="Times New Roman" w:eastAsia="ArialMT" w:cs="Times New Roman"/>
                      <w:iCs/>
                      <w:sz w:val="24"/>
                      <w:szCs w:val="24"/>
                    </w:rPr>
                  </w:pPr>
                  <w:r>
                    <w:rPr>
                      <w:rFonts w:eastAsia="ArialMT" w:cs="Times New Roman" w:ascii="Times New Roman" w:hAnsi="Times New Roman"/>
                      <w:iCs/>
                      <w:sz w:val="24"/>
                      <w:szCs w:val="24"/>
                    </w:rPr>
                  </w:r>
                </w:p>
              </w:tc>
            </w:tr>
            <w:tr>
              <w:trPr>
                <w:trHeight w:val="169" w:hRule="atLeast"/>
              </w:trPr>
              <w:tc>
                <w:tcPr>
                  <w:tcW w:w="9209" w:type="dxa"/>
                  <w:tcBorders>
                    <w:top w:val="nil"/>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iCs/>
                    </w:rPr>
                  </w:pPr>
                  <w:r>
                    <w:rPr>
                      <w:rFonts w:cs="Times New Roman" w:ascii="Times New Roman" w:hAnsi="Times New Roman"/>
                      <w:sz w:val="24"/>
                      <w:szCs w:val="24"/>
                      <w:lang w:eastAsia="ar-SA"/>
                    </w:rPr>
                    <w:t xml:space="preserve">4.3. </w:t>
                  </w:r>
                  <w:r>
                    <w:rPr>
                      <w:rFonts w:eastAsia="Calibri" w:cs="Times New Roman" w:ascii="Times New Roman" w:hAnsi="Times New Roman"/>
                      <w:sz w:val="24"/>
                      <w:szCs w:val="24"/>
                      <w:lang w:eastAsia="ar-SA"/>
                    </w:rPr>
                    <w:t>Ja atbilstoši noteiktajam piedāvājuma izvērtēšanas kritērijam novērtējums ir vienāds, uzvarētājs tiek noteikts izlozes kārtībā, slēgtās aploksnēs, ievietojot pretendentu nosaukumus.</w:t>
                  </w:r>
                </w:p>
              </w:tc>
            </w:tr>
          </w:tbl>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4"/>
                <w:szCs w:val="24"/>
              </w:rPr>
            </w:pPr>
            <w:r>
              <w:rPr>
                <w:sz w:val="24"/>
                <w:szCs w:val="24"/>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4"/>
                <w:szCs w:val="24"/>
              </w:rPr>
            </w:pPr>
            <w:r>
              <w:rPr>
                <w:sz w:val="24"/>
                <w:szCs w:val="24"/>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p>
            <w:pPr>
              <w:pStyle w:val="Pamatteksts"/>
              <w:tabs>
                <w:tab w:val="clear" w:pos="720"/>
                <w:tab w:val="left" w:pos="284" w:leader="none"/>
                <w:tab w:val="left" w:pos="426" w:leader="none"/>
                <w:tab w:val="left" w:pos="792" w:leader="none"/>
                <w:tab w:val="left" w:pos="1134" w:leader="none"/>
              </w:tabs>
              <w:spacing w:before="0" w:after="0"/>
              <w:ind w:left="360" w:hanging="0"/>
              <w:jc w:val="both"/>
              <w:rPr>
                <w:sz w:val="22"/>
                <w:szCs w:val="22"/>
              </w:rPr>
            </w:pPr>
            <w:r>
              <w:rPr>
                <w:sz w:val="22"/>
                <w:szCs w:val="22"/>
              </w:rPr>
            </w:r>
          </w:p>
        </w:tc>
      </w:tr>
    </w:tbl>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rPr>
        <w:t>5. SADAĻA</w:t>
      </w:r>
    </w:p>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rPr>
        <w:t>PIELIKUMI</w:t>
      </w:r>
    </w:p>
    <w:p>
      <w:pPr>
        <w:pStyle w:val="Normal"/>
        <w:rPr>
          <w:rFonts w:ascii="Times New Roman" w:hAnsi="Times New Roman" w:cs="Times New Roman"/>
          <w:sz w:val="24"/>
          <w:szCs w:val="24"/>
        </w:rPr>
      </w:pPr>
      <w:r>
        <w:rPr>
          <w:rFonts w:cs="Times New Roman" w:ascii="Times New Roman" w:hAnsi="Times New Roman"/>
          <w:sz w:val="24"/>
          <w:szCs w:val="24"/>
        </w:rPr>
      </w:r>
    </w:p>
    <w:tbl>
      <w:tblPr>
        <w:tblStyle w:val="TableGrid"/>
        <w:tblW w:w="8823" w:type="dxa"/>
        <w:jc w:val="left"/>
        <w:tblInd w:w="237" w:type="dxa"/>
        <w:tblCellMar>
          <w:top w:w="0" w:type="dxa"/>
          <w:left w:w="108" w:type="dxa"/>
          <w:bottom w:w="0" w:type="dxa"/>
          <w:right w:w="108" w:type="dxa"/>
        </w:tblCellMar>
        <w:tblLook w:firstRow="1" w:noVBand="1" w:lastRow="0" w:firstColumn="1" w:lastColumn="0" w:noHBand="0" w:val="04a0"/>
      </w:tblPr>
      <w:tblGrid>
        <w:gridCol w:w="2369"/>
        <w:gridCol w:w="6453"/>
      </w:tblGrid>
      <w:tr>
        <w:trPr/>
        <w:tc>
          <w:tcPr>
            <w:tcW w:w="236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
                <w:color w:val="auto"/>
                <w:sz w:val="24"/>
                <w:szCs w:val="24"/>
              </w:rPr>
              <w:t>1.pielikums</w:t>
            </w:r>
          </w:p>
        </w:tc>
        <w:tc>
          <w:tcPr>
            <w:tcW w:w="6453"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 xml:space="preserve">Pieteikums dalībai iepirkumā, forma </w:t>
            </w:r>
          </w:p>
        </w:tc>
      </w:tr>
      <w:tr>
        <w:trPr/>
        <w:tc>
          <w:tcPr>
            <w:tcW w:w="2369" w:type="dxa"/>
            <w:tcBorders>
              <w:top w:val="nil"/>
              <w:left w:val="nil"/>
              <w:bottom w:val="nil"/>
              <w:right w:val="nil"/>
              <w:insideH w:val="nil"/>
              <w:insideV w:val="nil"/>
            </w:tcBorders>
            <w:shd w:fill="auto" w:val="clear"/>
          </w:tcPr>
          <w:p>
            <w:pPr>
              <w:pStyle w:val="Normal"/>
              <w:spacing w:lineRule="auto" w:line="240" w:before="0" w:after="0"/>
              <w:rPr>
                <w:color w:val="auto"/>
                <w:sz w:val="24"/>
                <w:szCs w:val="24"/>
              </w:rPr>
            </w:pPr>
            <w:r>
              <w:rPr>
                <w:rFonts w:cs="Times New Roman" w:ascii="Times New Roman" w:hAnsi="Times New Roman"/>
                <w:b/>
                <w:color w:val="auto"/>
                <w:sz w:val="24"/>
                <w:szCs w:val="24"/>
              </w:rPr>
              <w:t>2.pielikums</w:t>
            </w:r>
          </w:p>
        </w:tc>
        <w:tc>
          <w:tcPr>
            <w:tcW w:w="6453" w:type="dxa"/>
            <w:tcBorders>
              <w:top w:val="nil"/>
              <w:left w:val="nil"/>
              <w:bottom w:val="nil"/>
              <w:right w:val="nil"/>
              <w:insideH w:val="nil"/>
              <w:insideV w:val="nil"/>
            </w:tcBorders>
            <w:shd w:fill="auto" w:val="clear"/>
          </w:tcPr>
          <w:p>
            <w:pPr>
              <w:pStyle w:val="Normal"/>
              <w:spacing w:lineRule="auto" w:line="240" w:before="0" w:after="0"/>
              <w:ind w:right="-335" w:hanging="0"/>
              <w:rPr>
                <w:sz w:val="24"/>
                <w:szCs w:val="24"/>
              </w:rPr>
            </w:pPr>
            <w:r>
              <w:rPr>
                <w:rFonts w:cs="Times New Roman" w:ascii="Times New Roman" w:hAnsi="Times New Roman"/>
                <w:sz w:val="24"/>
                <w:szCs w:val="24"/>
              </w:rPr>
              <w:t>Finanšu piedāvājums, forma</w:t>
            </w:r>
          </w:p>
        </w:tc>
      </w:tr>
      <w:tr>
        <w:trPr/>
        <w:tc>
          <w:tcPr>
            <w:tcW w:w="2369" w:type="dxa"/>
            <w:tcBorders>
              <w:top w:val="nil"/>
              <w:left w:val="nil"/>
              <w:bottom w:val="nil"/>
              <w:right w:val="nil"/>
              <w:insideH w:val="nil"/>
              <w:insideV w:val="nil"/>
            </w:tcBorders>
            <w:shd w:fill="auto" w:val="clear"/>
          </w:tcPr>
          <w:p>
            <w:pPr>
              <w:pStyle w:val="Normal"/>
              <w:spacing w:lineRule="auto" w:line="240" w:before="0" w:after="0"/>
              <w:rPr>
                <w:sz w:val="24"/>
                <w:szCs w:val="24"/>
              </w:rPr>
            </w:pPr>
            <w:r>
              <w:rPr>
                <w:rFonts w:cs="Times New Roman" w:ascii="Times New Roman" w:hAnsi="Times New Roman"/>
                <w:b/>
                <w:sz w:val="24"/>
                <w:szCs w:val="24"/>
              </w:rPr>
              <w:t>3.pielikums</w:t>
            </w:r>
          </w:p>
        </w:tc>
        <w:tc>
          <w:tcPr>
            <w:tcW w:w="6453" w:type="dxa"/>
            <w:tcBorders>
              <w:top w:val="nil"/>
              <w:left w:val="nil"/>
              <w:bottom w:val="nil"/>
              <w:right w:val="nil"/>
              <w:insideH w:val="nil"/>
              <w:insideV w:val="nil"/>
            </w:tcBorders>
            <w:shd w:fill="auto" w:val="clear"/>
          </w:tcPr>
          <w:p>
            <w:pPr>
              <w:pStyle w:val="Normal"/>
              <w:spacing w:lineRule="auto" w:line="240" w:before="0" w:after="0"/>
              <w:ind w:right="-335" w:hanging="0"/>
              <w:rPr>
                <w:sz w:val="24"/>
                <w:szCs w:val="24"/>
              </w:rPr>
            </w:pPr>
            <w:r>
              <w:rPr>
                <w:rFonts w:cs="Times New Roman" w:ascii="Times New Roman" w:hAnsi="Times New Roman"/>
                <w:sz w:val="24"/>
                <w:szCs w:val="24"/>
              </w:rPr>
              <w:t>Tehniskā specifikācija, forma</w:t>
            </w:r>
          </w:p>
        </w:tc>
      </w:tr>
      <w:tr>
        <w:trPr/>
        <w:tc>
          <w:tcPr>
            <w:tcW w:w="236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
                <w:sz w:val="24"/>
                <w:szCs w:val="24"/>
              </w:rPr>
              <w:t>4.pielikums</w:t>
            </w:r>
          </w:p>
        </w:tc>
        <w:tc>
          <w:tcPr>
            <w:tcW w:w="6453"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Informācija par līguma izpildi, forma</w:t>
            </w:r>
          </w:p>
        </w:tc>
      </w:tr>
      <w:tr>
        <w:trPr/>
        <w:tc>
          <w:tcPr>
            <w:tcW w:w="236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rPr>
            </w:pPr>
            <w:r>
              <w:rPr>
                <w:rFonts w:cs="Times New Roman" w:ascii="Times New Roman" w:hAnsi="Times New Roman"/>
                <w:b/>
                <w:sz w:val="24"/>
                <w:szCs w:val="24"/>
              </w:rPr>
              <w:t>5.pielikums</w:t>
            </w:r>
          </w:p>
        </w:tc>
        <w:tc>
          <w:tcPr>
            <w:tcW w:w="6453"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Prasības piedāvājumu noformēšanai</w:t>
            </w:r>
          </w:p>
        </w:tc>
      </w:tr>
      <w:tr>
        <w:trPr/>
        <w:tc>
          <w:tcPr>
            <w:tcW w:w="236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b/>
                <w:sz w:val="24"/>
                <w:szCs w:val="24"/>
              </w:rPr>
              <w:t>6.pielikums</w:t>
            </w:r>
          </w:p>
        </w:tc>
        <w:tc>
          <w:tcPr>
            <w:tcW w:w="6453"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Vērtēšanas nosacījumi</w:t>
            </w:r>
          </w:p>
        </w:tc>
      </w:tr>
      <w:tr>
        <w:trPr/>
        <w:tc>
          <w:tcPr>
            <w:tcW w:w="236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rPr>
            </w:pPr>
            <w:r>
              <w:rPr>
                <w:rFonts w:cs="Times New Roman" w:ascii="Times New Roman" w:hAnsi="Times New Roman"/>
                <w:b/>
                <w:sz w:val="24"/>
                <w:szCs w:val="24"/>
              </w:rPr>
              <w:t>7.pielikums</w:t>
            </w:r>
          </w:p>
        </w:tc>
        <w:tc>
          <w:tcPr>
            <w:tcW w:w="6453"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Līguma projekts</w:t>
            </w:r>
          </w:p>
        </w:tc>
      </w:tr>
      <w:tr>
        <w:trPr/>
        <w:tc>
          <w:tcPr>
            <w:tcW w:w="236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rPr>
            </w:pPr>
            <w:r>
              <w:rPr>
                <w:rFonts w:cs="Times New Roman" w:ascii="Times New Roman" w:hAnsi="Times New Roman"/>
                <w:b/>
                <w:sz w:val="24"/>
                <w:szCs w:val="24"/>
              </w:rPr>
              <w:t xml:space="preserve"> </w:t>
            </w:r>
          </w:p>
        </w:tc>
        <w:tc>
          <w:tcPr>
            <w:tcW w:w="6453"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36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rPr>
            </w:pPr>
            <w:r>
              <w:rPr>
                <w:rFonts w:cs="Times New Roman" w:ascii="Times New Roman" w:hAnsi="Times New Roman"/>
                <w:b/>
                <w:sz w:val="24"/>
                <w:szCs w:val="24"/>
              </w:rPr>
              <w:t xml:space="preserve"> </w:t>
            </w:r>
          </w:p>
        </w:tc>
        <w:tc>
          <w:tcPr>
            <w:tcW w:w="6453"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36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453" w:type="dxa"/>
            <w:tcBorders>
              <w:top w:val="nil"/>
              <w:left w:val="nil"/>
              <w:bottom w:val="nil"/>
              <w:right w:val="nil"/>
              <w:insideH w:val="nil"/>
              <w:insideV w:val="nil"/>
            </w:tcBorders>
            <w:shd w:fill="auto" w:val="clear"/>
          </w:tcPr>
          <w:p>
            <w:pPr>
              <w:pStyle w:val="Normal"/>
              <w:spacing w:lineRule="auto" w:line="240" w:before="0" w:after="0"/>
              <w:jc w:val="left"/>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r>
            <w:r>
              <w:rPr>
                <w:rFonts w:cs="Times New Roman" w:ascii="Times New Roman" w:hAnsi="Times New Roman"/>
                <w:b w:val="false"/>
                <w:bCs w:val="false"/>
                <w:sz w:val="24"/>
                <w:szCs w:val="24"/>
              </w:rPr>
              <w:t>Nolikuma pielikumi ir tā neatņemama sastāvdaļa.</w:t>
            </w:r>
          </w:p>
        </w:tc>
      </w:tr>
      <w:tr>
        <w:trPr/>
        <w:tc>
          <w:tcPr>
            <w:tcW w:w="236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rPr>
            </w:pPr>
            <w:r>
              <w:rPr>
                <w:rFonts w:cs="Times New Roman" w:ascii="Times New Roman" w:hAnsi="Times New Roman"/>
                <w:b/>
                <w:sz w:val="24"/>
                <w:szCs w:val="24"/>
              </w:rPr>
              <w:t xml:space="preserve"> </w:t>
            </w:r>
          </w:p>
        </w:tc>
        <w:tc>
          <w:tcPr>
            <w:tcW w:w="6453"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keepNext w:val="true"/>
        <w:numPr>
          <w:ilvl w:val="0"/>
          <w:numId w:val="0"/>
        </w:numPr>
        <w:suppressAutoHyphens w:val="true"/>
        <w:spacing w:before="0" w:after="0"/>
        <w:jc w:val="right"/>
        <w:outlineLvl w:val="3"/>
        <w:rPr>
          <w:b w:val="false"/>
          <w:b w:val="false"/>
          <w:bCs w:val="false"/>
          <w:sz w:val="22"/>
          <w:szCs w:val="22"/>
        </w:rPr>
      </w:pPr>
      <w:r>
        <w:br w:type="page"/>
      </w:r>
      <w:r>
        <w:rPr>
          <w:rFonts w:eastAsia="Times New Roman" w:cs="Times New Roman" w:ascii="Times New Roman" w:hAnsi="Times New Roman"/>
          <w:b w:val="false"/>
          <w:bCs w:val="false"/>
          <w:sz w:val="22"/>
          <w:szCs w:val="22"/>
          <w:lang w:eastAsia="ar-SA"/>
        </w:rPr>
        <w:t xml:space="preserve">1.pielikums </w:t>
      </w:r>
    </w:p>
    <w:p>
      <w:pPr>
        <w:pStyle w:val="Normal"/>
        <w:keepNext w:val="true"/>
        <w:numPr>
          <w:ilvl w:val="0"/>
          <w:numId w:val="0"/>
        </w:numPr>
        <w:suppressAutoHyphens w:val="true"/>
        <w:spacing w:before="0" w:after="0"/>
        <w:jc w:val="right"/>
        <w:outlineLvl w:val="3"/>
        <w:rPr>
          <w:b w:val="false"/>
          <w:b w:val="false"/>
          <w:bCs w:val="false"/>
          <w:sz w:val="22"/>
          <w:szCs w:val="22"/>
        </w:rPr>
      </w:pPr>
      <w:r>
        <w:rPr>
          <w:rFonts w:eastAsia="Times New Roman" w:cs="Times New Roman" w:ascii="Times New Roman" w:hAnsi="Times New Roman"/>
          <w:b w:val="false"/>
          <w:bCs w:val="false"/>
          <w:sz w:val="22"/>
          <w:szCs w:val="22"/>
          <w:lang w:eastAsia="ar-SA"/>
        </w:rPr>
        <w:t xml:space="preserve">Iepirkuma “Transporta dīzeļdegvielas vairumtirdzniecība un piegāde </w:t>
      </w:r>
    </w:p>
    <w:p>
      <w:pPr>
        <w:pStyle w:val="Normal"/>
        <w:numPr>
          <w:ilvl w:val="0"/>
          <w:numId w:val="0"/>
        </w:numPr>
        <w:suppressAutoHyphens w:val="true"/>
        <w:spacing w:before="0" w:after="0"/>
        <w:jc w:val="right"/>
        <w:outlineLvl w:val="3"/>
        <w:rPr>
          <w:b w:val="false"/>
          <w:b w:val="false"/>
          <w:bCs w:val="false"/>
          <w:sz w:val="22"/>
          <w:szCs w:val="22"/>
        </w:rPr>
      </w:pPr>
      <w:r>
        <w:rPr>
          <w:rFonts w:eastAsia="Times New Roman" w:cs="Times New Roman" w:ascii="Times New Roman" w:hAnsi="Times New Roman"/>
          <w:b w:val="false"/>
          <w:bCs w:val="false"/>
          <w:sz w:val="22"/>
          <w:szCs w:val="22"/>
          <w:lang w:eastAsia="ar-SA"/>
        </w:rPr>
        <w:t>Rucavas novada pašvaldības vajadzībām”, identifikācijas numurs RND 2019/6, nolikumam</w:t>
      </w:r>
    </w:p>
    <w:p>
      <w:pPr>
        <w:pStyle w:val="Normal"/>
        <w:numPr>
          <w:ilvl w:val="0"/>
          <w:numId w:val="0"/>
        </w:numPr>
        <w:suppressAutoHyphens w:val="true"/>
        <w:spacing w:lineRule="auto" w:line="240" w:before="0" w:after="0"/>
        <w:jc w:val="right"/>
        <w:outlineLvl w:val="3"/>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numPr>
          <w:ilvl w:val="0"/>
          <w:numId w:val="0"/>
        </w:numPr>
        <w:suppressAutoHyphens w:val="true"/>
        <w:spacing w:lineRule="auto" w:line="240" w:before="0" w:after="0"/>
        <w:jc w:val="right"/>
        <w:outlineLvl w:val="3"/>
        <w:rPr>
          <w:rFonts w:ascii="Times New Roman" w:hAnsi="Times New Roman" w:eastAsia="Times New Roman" w:cs="Times New Roman"/>
          <w:b/>
          <w:b/>
          <w:caps/>
        </w:rPr>
      </w:pPr>
      <w:r>
        <w:rPr>
          <w:rFonts w:eastAsia="Times New Roman" w:cs="Times New Roman" w:ascii="Times New Roman" w:hAnsi="Times New Roman"/>
          <w:b/>
          <w:caps/>
        </w:rPr>
      </w:r>
    </w:p>
    <w:p>
      <w:pPr>
        <w:pStyle w:val="Normal"/>
        <w:suppressAutoHyphens w:val="true"/>
        <w:spacing w:lineRule="auto" w:line="240" w:before="0" w:after="0"/>
        <w:jc w:val="center"/>
        <w:rPr>
          <w:rFonts w:ascii="Times New Roman" w:hAnsi="Times New Roman" w:eastAsia="Times New Roman" w:cs="Times New Roman"/>
          <w:b/>
          <w:b/>
          <w:caps/>
        </w:rPr>
      </w:pPr>
      <w:r>
        <w:rPr>
          <w:rFonts w:eastAsia="Times New Roman" w:cs="Times New Roman" w:ascii="Times New Roman" w:hAnsi="Times New Roman"/>
          <w:b/>
          <w:caps/>
        </w:rPr>
        <w:t>PIETEIKUMS DALĪBAI IEPIRKUMĀ</w:t>
      </w:r>
    </w:p>
    <w:p>
      <w:pPr>
        <w:pStyle w:val="Normal"/>
        <w:suppressAutoHyphens w:val="true"/>
        <w:spacing w:lineRule="auto" w:line="240"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tbl>
      <w:tblPr>
        <w:tblW w:w="9214" w:type="dxa"/>
        <w:jc w:val="left"/>
        <w:tblInd w:w="109" w:type="dxa"/>
        <w:tblBorders>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5708"/>
        <w:gridCol w:w="3505"/>
      </w:tblGrid>
      <w:tr>
        <w:trPr/>
        <w:tc>
          <w:tcPr>
            <w:tcW w:w="5708" w:type="dxa"/>
            <w:tcBorders>
              <w:bottom w:val="single" w:sz="4" w:space="0" w:color="000000"/>
              <w:insideH w:val="single" w:sz="4" w:space="0" w:color="000000"/>
            </w:tcBorders>
            <w:shd w:fill="auto" w:val="clear"/>
            <w:vAlign w:val="center"/>
          </w:tcPr>
          <w:p>
            <w:pPr>
              <w:pStyle w:val="Normal"/>
              <w:suppressAutoHyphens w:val="true"/>
              <w:snapToGrid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 xml:space="preserve"> </w:t>
            </w:r>
          </w:p>
        </w:tc>
        <w:tc>
          <w:tcPr>
            <w:tcW w:w="3505" w:type="dxa"/>
            <w:tcBorders>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5708" w:type="dxa"/>
            <w:tcBorders>
              <w:top w:val="single" w:sz="4" w:space="0" w:color="000000"/>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eastAsia="Times New Roman" w:cs="Times New Roman"/>
                <w:i/>
                <w:i/>
                <w:iCs/>
                <w:sz w:val="18"/>
                <w:szCs w:val="18"/>
              </w:rPr>
            </w:pPr>
            <w:r>
              <w:rPr>
                <w:rFonts w:eastAsia="Times New Roman" w:cs="Times New Roman" w:ascii="Times New Roman" w:hAnsi="Times New Roman"/>
                <w:i/>
                <w:iCs/>
                <w:sz w:val="18"/>
                <w:szCs w:val="18"/>
              </w:rPr>
              <w:t>Sabiedrības nosaukums</w:t>
            </w:r>
          </w:p>
        </w:tc>
        <w:tc>
          <w:tcPr>
            <w:tcW w:w="3505" w:type="dxa"/>
            <w:tcBorders>
              <w:top w:val="single" w:sz="4" w:space="0" w:color="000000"/>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eastAsia="Times New Roman" w:cs="Times New Roman"/>
                <w:i/>
                <w:i/>
                <w:iCs/>
                <w:sz w:val="18"/>
                <w:szCs w:val="18"/>
              </w:rPr>
            </w:pPr>
            <w:r>
              <w:rPr>
                <w:rFonts w:eastAsia="Times New Roman" w:cs="Times New Roman" w:ascii="Times New Roman" w:hAnsi="Times New Roman"/>
                <w:i/>
                <w:iCs/>
                <w:sz w:val="18"/>
                <w:szCs w:val="18"/>
              </w:rPr>
              <w:t>reģistrācijas numurs</w:t>
            </w:r>
          </w:p>
        </w:tc>
      </w:tr>
    </w:tbl>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p>
    <w:tbl>
      <w:tblPr>
        <w:tblW w:w="9214" w:type="dxa"/>
        <w:jc w:val="left"/>
        <w:tblInd w:w="109" w:type="dxa"/>
        <w:tblBorders>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3118"/>
        <w:gridCol w:w="1277"/>
        <w:gridCol w:w="4819"/>
      </w:tblGrid>
      <w:tr>
        <w:trPr>
          <w:trHeight w:val="137" w:hRule="atLeast"/>
        </w:trPr>
        <w:tc>
          <w:tcPr>
            <w:tcW w:w="3118" w:type="dxa"/>
            <w:tcBorders>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t>kuras vārdā saskaņā ar</w:t>
            </w:r>
          </w:p>
        </w:tc>
        <w:tc>
          <w:tcPr>
            <w:tcW w:w="1277" w:type="dxa"/>
            <w:tcBorders>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tc>
        <w:tc>
          <w:tcPr>
            <w:tcW w:w="4819" w:type="dxa"/>
            <w:tcBorders>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rīkojas</w:t>
            </w:r>
          </w:p>
        </w:tc>
      </w:tr>
      <w:tr>
        <w:trPr/>
        <w:tc>
          <w:tcPr>
            <w:tcW w:w="3118" w:type="dxa"/>
            <w:tcBorders>
              <w:top w:val="single" w:sz="4" w:space="0" w:color="000000"/>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rPr>
                <w:rFonts w:ascii="Times New Roman" w:hAnsi="Times New Roman" w:eastAsia="Times New Roman" w:cs="Times New Roman"/>
                <w:i/>
                <w:i/>
                <w:iCs/>
              </w:rPr>
            </w:pPr>
            <w:r>
              <w:rPr>
                <w:rFonts w:eastAsia="Times New Roman" w:cs="Times New Roman" w:ascii="Times New Roman" w:hAnsi="Times New Roman"/>
                <w:i/>
                <w:iCs/>
              </w:rPr>
            </w:r>
          </w:p>
        </w:tc>
        <w:tc>
          <w:tcPr>
            <w:tcW w:w="1277" w:type="dxa"/>
            <w:tcBorders>
              <w:top w:val="single" w:sz="4" w:space="0" w:color="000000"/>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eastAsia="Times New Roman" w:cs="Times New Roman"/>
                <w:i/>
                <w:i/>
                <w:iCs/>
                <w:sz w:val="18"/>
                <w:szCs w:val="18"/>
              </w:rPr>
            </w:pPr>
            <w:r>
              <w:rPr>
                <w:rFonts w:eastAsia="Times New Roman" w:cs="Times New Roman" w:ascii="Times New Roman" w:hAnsi="Times New Roman"/>
                <w:i/>
                <w:iCs/>
                <w:sz w:val="18"/>
                <w:szCs w:val="18"/>
              </w:rPr>
              <w:t xml:space="preserve">pārstāvības pamats </w:t>
            </w:r>
          </w:p>
        </w:tc>
        <w:tc>
          <w:tcPr>
            <w:tcW w:w="4819" w:type="dxa"/>
            <w:tcBorders>
              <w:top w:val="single" w:sz="4" w:space="0" w:color="000000"/>
              <w:bottom w:val="single" w:sz="4" w:space="0" w:color="000000"/>
              <w:insideH w:val="single" w:sz="4" w:space="0" w:color="000000"/>
            </w:tcBorders>
            <w:shd w:fill="auto" w:val="clear"/>
          </w:tcPr>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eastAsia="Times New Roman" w:cs="Times New Roman"/>
                <w:i/>
                <w:i/>
                <w:iCs/>
                <w:sz w:val="18"/>
                <w:szCs w:val="18"/>
              </w:rPr>
            </w:pPr>
            <w:r>
              <w:rPr>
                <w:rFonts w:eastAsia="Times New Roman" w:cs="Times New Roman" w:ascii="Times New Roman" w:hAnsi="Times New Roman"/>
                <w:i/>
                <w:iCs/>
                <w:sz w:val="18"/>
                <w:szCs w:val="18"/>
              </w:rPr>
              <w:t xml:space="preserve">Amats, </w:t>
            </w:r>
          </w:p>
          <w:p>
            <w:pPr>
              <w:pStyle w:val="Normal"/>
              <w:tabs>
                <w:tab w:val="clear" w:pos="720"/>
                <w:tab w:val="center" w:pos="5593" w:leader="none"/>
                <w:tab w:val="right" w:pos="9746" w:leader="none"/>
              </w:tabs>
              <w:suppressAutoHyphens w:val="true"/>
              <w:snapToGrid w:val="false"/>
              <w:spacing w:lineRule="auto" w:line="240" w:before="0" w:after="0"/>
              <w:jc w:val="center"/>
              <w:rPr>
                <w:rFonts w:ascii="Times New Roman" w:hAnsi="Times New Roman" w:eastAsia="Times New Roman" w:cs="Times New Roman"/>
                <w:i/>
                <w:i/>
                <w:iCs/>
                <w:sz w:val="18"/>
                <w:szCs w:val="18"/>
              </w:rPr>
            </w:pPr>
            <w:r>
              <w:rPr>
                <w:rFonts w:eastAsia="Times New Roman" w:cs="Times New Roman" w:ascii="Times New Roman" w:hAnsi="Times New Roman"/>
                <w:i/>
                <w:iCs/>
                <w:sz w:val="18"/>
                <w:szCs w:val="18"/>
              </w:rPr>
              <w:t>vārds un uzvārds</w:t>
            </w:r>
          </w:p>
        </w:tc>
      </w:tr>
    </w:tbl>
    <w:p>
      <w:pPr>
        <w:pStyle w:val="Normal"/>
        <w:suppressAutoHyphens w:val="true"/>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spacing w:lineRule="auto" w:line="240" w:before="0" w:after="0"/>
        <w:rPr/>
      </w:pPr>
      <w:r>
        <w:rPr>
          <w:rFonts w:cs="Times New Roman" w:ascii="Times New Roman" w:hAnsi="Times New Roman"/>
        </w:rPr>
        <w:t xml:space="preserve">Ar šo piesakās piedalīties iepirkumā "Transporta dīzeļdegvielas vairumtirdzniecība un piegāde Rucavas novada pašvaldības vajadzībām", </w:t>
      </w:r>
      <w:r>
        <w:rPr>
          <w:rFonts w:cs="Times New Roman" w:ascii="Times New Roman" w:hAnsi="Times New Roman"/>
          <w:bCs/>
        </w:rPr>
        <w:t xml:space="preserve"> </w:t>
      </w:r>
      <w:r>
        <w:rPr>
          <w:rFonts w:eastAsia="Times New Roman" w:cs="Times New Roman" w:ascii="Times New Roman" w:hAnsi="Times New Roman"/>
          <w:b w:val="false"/>
          <w:bCs w:val="false"/>
          <w:sz w:val="22"/>
          <w:szCs w:val="22"/>
          <w:lang w:eastAsia="ar-SA"/>
        </w:rPr>
        <w:t>identifikācijas numurs RND 2019/6.</w:t>
      </w:r>
    </w:p>
    <w:p>
      <w:pPr>
        <w:pStyle w:val="NoSpacing"/>
        <w:jc w:val="both"/>
        <w:rPr>
          <w:bCs/>
        </w:rPr>
      </w:pPr>
      <w:r>
        <w:rPr>
          <w:bCs/>
        </w:rPr>
      </w:r>
    </w:p>
    <w:tbl>
      <w:tblPr>
        <w:tblStyle w:val="TableGrid"/>
        <w:tblW w:w="9061" w:type="dxa"/>
        <w:jc w:val="left"/>
        <w:tblInd w:w="0" w:type="dxa"/>
        <w:tblCellMar>
          <w:top w:w="0" w:type="dxa"/>
          <w:left w:w="108" w:type="dxa"/>
          <w:bottom w:w="0" w:type="dxa"/>
          <w:right w:w="108" w:type="dxa"/>
        </w:tblCellMar>
        <w:tblLook w:firstRow="1" w:noVBand="1" w:lastRow="0" w:firstColumn="1" w:lastColumn="0" w:noHBand="0" w:val="04a0"/>
      </w:tblPr>
      <w:tblGrid>
        <w:gridCol w:w="2266"/>
        <w:gridCol w:w="453"/>
        <w:gridCol w:w="1359"/>
        <w:gridCol w:w="453"/>
        <w:gridCol w:w="4530"/>
      </w:tblGrid>
      <w:tr>
        <w:trPr/>
        <w:tc>
          <w:tcPr>
            <w:tcW w:w="2266" w:type="dxa"/>
            <w:tcBorders>
              <w:top w:val="nil"/>
              <w:left w:val="nil"/>
              <w:bottom w:val="nil"/>
              <w:insideH w:val="nil"/>
            </w:tcBorders>
            <w:shd w:fill="auto" w:val="clear"/>
          </w:tcPr>
          <w:p>
            <w:pPr>
              <w:pStyle w:val="Normal"/>
              <w:suppressAutoHyphens w:val="true"/>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Pretendents atbilst</w:t>
            </w:r>
          </w:p>
        </w:tc>
        <w:tc>
          <w:tcPr>
            <w:tcW w:w="453" w:type="dxa"/>
            <w:tcBorders/>
            <w:shd w:fill="auto" w:val="clear"/>
          </w:tcPr>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tc>
        <w:tc>
          <w:tcPr>
            <w:tcW w:w="1359" w:type="dxa"/>
            <w:tcBorders>
              <w:top w:val="nil"/>
              <w:bottom w:val="nil"/>
              <w:insideH w:val="nil"/>
            </w:tcBorders>
            <w:shd w:fill="auto" w:val="clear"/>
          </w:tcPr>
          <w:p>
            <w:pPr>
              <w:pStyle w:val="Normal"/>
              <w:suppressAutoHyphens w:val="true"/>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neatbilst</w:t>
            </w:r>
          </w:p>
        </w:tc>
        <w:tc>
          <w:tcPr>
            <w:tcW w:w="453" w:type="dxa"/>
            <w:tcBorders/>
            <w:shd w:fill="auto" w:val="clear"/>
          </w:tcPr>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tc>
        <w:tc>
          <w:tcPr>
            <w:tcW w:w="4530" w:type="dxa"/>
            <w:tcBorders>
              <w:top w:val="nil"/>
              <w:left w:val="nil"/>
              <w:bottom w:val="nil"/>
              <w:right w:val="nil"/>
              <w:insideH w:val="nil"/>
              <w:insideV w:val="nil"/>
            </w:tcBorders>
            <w:shd w:fill="auto" w:val="clear"/>
          </w:tcPr>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b/>
              </w:rPr>
              <w:t>mazā vai vidējā uzņēmuma</w:t>
            </w:r>
            <w:r>
              <w:rPr>
                <w:rFonts w:eastAsia="Times New Roman" w:cs="Times New Roman" w:ascii="Times New Roman" w:hAnsi="Times New Roman"/>
              </w:rPr>
              <w:t xml:space="preserve"> statusam </w:t>
            </w:r>
            <w:r>
              <w:rPr>
                <w:rStyle w:val="Vresenkurs"/>
                <w:rStyle w:val="Vresenkurs"/>
                <w:rFonts w:eastAsia="Times New Roman" w:cs="Times New Roman" w:ascii="Times New Roman" w:hAnsi="Times New Roman"/>
              </w:rPr>
              <w:footnoteReference w:id="2"/>
            </w:r>
          </w:p>
        </w:tc>
      </w:tr>
    </w:tbl>
    <w:p>
      <w:pPr>
        <w:pStyle w:val="Normal"/>
        <w:suppressAutoHyphens w:val="true"/>
        <w:spacing w:lineRule="auto" w:line="240" w:before="0" w:after="0"/>
        <w:jc w:val="both"/>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r>
    </w:p>
    <w:p>
      <w:pPr>
        <w:pStyle w:val="Normal"/>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Apliecinu, ka:</w:t>
      </w:r>
    </w:p>
    <w:p>
      <w:pPr>
        <w:pStyle w:val="Pamatteksts"/>
        <w:numPr>
          <w:ilvl w:val="0"/>
          <w:numId w:val="7"/>
        </w:numPr>
        <w:spacing w:lineRule="exact" w:line="240" w:beforeAutospacing="1" w:after="160"/>
        <w:jc w:val="both"/>
        <w:rPr>
          <w:sz w:val="22"/>
          <w:szCs w:val="22"/>
        </w:rPr>
      </w:pPr>
      <w:r>
        <w:rPr>
          <w:sz w:val="22"/>
          <w:szCs w:val="22"/>
        </w:rPr>
        <w:t xml:space="preserve">Pretendents ir reģistrēts, licencēts un/vai sertificēts atbilstoši attiecīgās valsts normatīvo aktu prasībām, tiesīgs veikt dīzeļdegvielas vairumtirdzniecību; </w:t>
      </w:r>
    </w:p>
    <w:p>
      <w:pPr>
        <w:pStyle w:val="Pamatteksts"/>
        <w:numPr>
          <w:ilvl w:val="0"/>
          <w:numId w:val="7"/>
        </w:numPr>
        <w:spacing w:before="80" w:after="80"/>
        <w:jc w:val="both"/>
        <w:rPr>
          <w:sz w:val="22"/>
          <w:szCs w:val="22"/>
        </w:rPr>
      </w:pPr>
      <w:r>
        <w:rPr>
          <w:sz w:val="22"/>
          <w:szCs w:val="22"/>
        </w:rPr>
        <w:t>Pretendenta rīcībā ir visi nepieciešamie resursi savlaicīgai un kvalitatīvai līguma izpildei;</w:t>
      </w:r>
    </w:p>
    <w:p>
      <w:pPr>
        <w:pStyle w:val="Pamatteksts"/>
        <w:numPr>
          <w:ilvl w:val="0"/>
          <w:numId w:val="7"/>
        </w:numPr>
        <w:spacing w:before="80" w:after="80"/>
        <w:jc w:val="both"/>
        <w:rPr>
          <w:sz w:val="22"/>
          <w:szCs w:val="22"/>
        </w:rPr>
      </w:pPr>
      <w:r>
        <w:rPr>
          <w:sz w:val="22"/>
          <w:szCs w:val="22"/>
        </w:rPr>
        <w:t>esam iepazinušies un pilnībā piekrītam iepirkuma nolikuma un līguma projekta nosacījumiem;</w:t>
      </w:r>
    </w:p>
    <w:p>
      <w:pPr>
        <w:pStyle w:val="Pamatteksts"/>
        <w:numPr>
          <w:ilvl w:val="0"/>
          <w:numId w:val="7"/>
        </w:numPr>
        <w:spacing w:before="80" w:after="80"/>
        <w:jc w:val="both"/>
        <w:rPr>
          <w:sz w:val="22"/>
          <w:szCs w:val="22"/>
        </w:rPr>
      </w:pPr>
      <w:r>
        <w:rPr>
          <w:sz w:val="22"/>
          <w:szCs w:val="22"/>
        </w:rPr>
        <w:t>šis piedāvājums ir sagatavots individuāli un nav saskaņots ar konkurentiem;</w:t>
      </w:r>
    </w:p>
    <w:p>
      <w:pPr>
        <w:pStyle w:val="Pamatteksts"/>
        <w:numPr>
          <w:ilvl w:val="0"/>
          <w:numId w:val="7"/>
        </w:numPr>
        <w:spacing w:before="80" w:after="80"/>
        <w:jc w:val="both"/>
        <w:rPr>
          <w:sz w:val="22"/>
          <w:szCs w:val="22"/>
        </w:rPr>
      </w:pPr>
      <w:r>
        <w:rPr>
          <w:sz w:val="22"/>
          <w:szCs w:val="22"/>
        </w:rPr>
        <w:t>visas piedāvājumā sniegtās ziņas ir patiesas.</w:t>
      </w:r>
    </w:p>
    <w:p>
      <w:pPr>
        <w:pStyle w:val="ListParagraph"/>
        <w:spacing w:before="120" w:after="160"/>
        <w:contextualSpacing/>
        <w:jc w:val="both"/>
        <w:rPr>
          <w:rFonts w:ascii="Times New Roman" w:hAnsi="Times New Roman" w:cs="Times New Roman"/>
        </w:rPr>
      </w:pPr>
      <w:r>
        <w:rPr>
          <w:rFonts w:cs="Times New Roman" w:ascii="Times New Roman" w:hAnsi="Times New Roman"/>
        </w:rPr>
      </w:r>
    </w:p>
    <w:p>
      <w:pPr>
        <w:pStyle w:val="NoSpacing"/>
        <w:ind w:left="720" w:hanging="0"/>
        <w:jc w:val="both"/>
        <w:rPr>
          <w:sz w:val="22"/>
          <w:szCs w:val="22"/>
        </w:rPr>
      </w:pPr>
      <w:r>
        <w:rPr>
          <w:sz w:val="22"/>
          <w:szCs w:val="22"/>
        </w:rPr>
      </w:r>
    </w:p>
    <w:p>
      <w:pPr>
        <w:pStyle w:val="Normal"/>
        <w:tabs>
          <w:tab w:val="clear" w:pos="720"/>
          <w:tab w:val="left" w:pos="1134" w:leader="none"/>
          <w:tab w:val="left" w:pos="4500" w:leader="none"/>
        </w:tabs>
        <w:suppressAutoHyphens w:val="true"/>
        <w:spacing w:lineRule="auto" w:line="240" w:before="80" w:after="80"/>
        <w:ind w:left="1134" w:hanging="0"/>
        <w:jc w:val="both"/>
        <w:rPr>
          <w:rFonts w:ascii="Times New Roman" w:hAnsi="Times New Roman" w:eastAsia="Times New Roman" w:cs="Times New Roman"/>
          <w:lang w:eastAsia="ar-SA"/>
        </w:rPr>
      </w:pPr>
      <w:r>
        <w:rPr>
          <w:rFonts w:eastAsia="Times New Roman" w:cs="Times New Roman" w:ascii="Times New Roman" w:hAnsi="Times New Roman"/>
          <w:lang w:eastAsia="ar-SA"/>
        </w:rPr>
      </w:r>
    </w:p>
    <w:tbl>
      <w:tblPr>
        <w:tblW w:w="9214" w:type="dxa"/>
        <w:jc w:val="left"/>
        <w:tblInd w:w="109" w:type="dxa"/>
        <w:tblBorders/>
        <w:tblCellMar>
          <w:top w:w="0" w:type="dxa"/>
          <w:left w:w="108" w:type="dxa"/>
          <w:bottom w:w="0" w:type="dxa"/>
          <w:right w:w="108" w:type="dxa"/>
        </w:tblCellMar>
        <w:tblLook w:firstRow="0" w:noVBand="0" w:lastRow="0" w:firstColumn="0" w:lastColumn="0" w:noHBand="0" w:val="0000"/>
      </w:tblPr>
      <w:tblGrid>
        <w:gridCol w:w="6237"/>
        <w:gridCol w:w="2976"/>
      </w:tblGrid>
      <w:tr>
        <w:trPr/>
        <w:tc>
          <w:tcPr>
            <w:tcW w:w="6237" w:type="dxa"/>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t>Amatpersonas vai pilnvarotās personas paraksts:</w:t>
            </w:r>
          </w:p>
        </w:tc>
        <w:tc>
          <w:tcPr>
            <w:tcW w:w="2976" w:type="dxa"/>
            <w:tcBorders>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r>
          </w:p>
        </w:tc>
      </w:tr>
      <w:tr>
        <w:trPr/>
        <w:tc>
          <w:tcPr>
            <w:tcW w:w="6237" w:type="dxa"/>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t>Parakstītāja vārds, uzvārds un amats:</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r>
          </w:p>
        </w:tc>
      </w:tr>
      <w:tr>
        <w:trPr/>
        <w:tc>
          <w:tcPr>
            <w:tcW w:w="6237" w:type="dxa"/>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t>Korespondences adrese:</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r>
          </w:p>
        </w:tc>
      </w:tr>
      <w:tr>
        <w:trPr/>
        <w:tc>
          <w:tcPr>
            <w:tcW w:w="6237" w:type="dxa"/>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t>Bankas rekvizīti:</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r>
          </w:p>
        </w:tc>
      </w:tr>
      <w:tr>
        <w:trPr/>
        <w:tc>
          <w:tcPr>
            <w:tcW w:w="6237" w:type="dxa"/>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t>Kontaktpersona:</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r>
          </w:p>
        </w:tc>
      </w:tr>
      <w:tr>
        <w:trPr/>
        <w:tc>
          <w:tcPr>
            <w:tcW w:w="6237" w:type="dxa"/>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t>Tālruņa numurs:</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r>
          </w:p>
        </w:tc>
      </w:tr>
      <w:tr>
        <w:trPr/>
        <w:tc>
          <w:tcPr>
            <w:tcW w:w="6237" w:type="dxa"/>
            <w:tcBorders/>
            <w:shd w:fill="auto" w:val="clear"/>
          </w:tcPr>
          <w:p>
            <w:pPr>
              <w:pStyle w:val="Normal"/>
              <w:suppressAutoHyphens w:val="true"/>
              <w:spacing w:lineRule="auto" w:line="240" w:before="120" w:after="120"/>
              <w:rPr/>
            </w:pPr>
            <w:r>
              <w:rPr>
                <w:rFonts w:eastAsia="Times New Roman" w:cs="Times New Roman" w:ascii="Times New Roman" w:hAnsi="Times New Roman"/>
                <w:sz w:val="22"/>
                <w:szCs w:val="22"/>
              </w:rPr>
              <w:t>E-pasta adrese saziņai par piedāvājumu:</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r>
          </w:p>
        </w:tc>
      </w:tr>
      <w:tr>
        <w:trPr/>
        <w:tc>
          <w:tcPr>
            <w:tcW w:w="6237" w:type="dxa"/>
            <w:tcBorders/>
            <w:shd w:fill="auto" w:val="clear"/>
          </w:tcPr>
          <w:p>
            <w:pPr>
              <w:pStyle w:val="Normal"/>
              <w:suppressAutoHyphens w:val="true"/>
              <w:spacing w:lineRule="auto" w:line="240" w:before="120" w:after="120"/>
              <w:rPr/>
            </w:pPr>
            <w:r>
              <w:rPr>
                <w:rFonts w:eastAsia="Times New Roman" w:cs="Times New Roman" w:ascii="Times New Roman" w:hAnsi="Times New Roman"/>
                <w:sz w:val="22"/>
                <w:szCs w:val="22"/>
              </w:rPr>
              <w:t xml:space="preserve">E-pasta adrese </w:t>
            </w:r>
            <w:bookmarkStart w:id="1" w:name="__DdeLink__2398_3790833708"/>
            <w:r>
              <w:rPr>
                <w:rFonts w:eastAsia="Times New Roman" w:cs="Times New Roman" w:ascii="Times New Roman" w:hAnsi="Times New Roman"/>
                <w:sz w:val="22"/>
                <w:szCs w:val="22"/>
              </w:rPr>
              <w:t>elektroniski parakst</w:t>
            </w:r>
            <w:r>
              <w:rPr>
                <w:rFonts w:ascii="Times New Roman" w:hAnsi="Times New Roman"/>
                <w:sz w:val="22"/>
                <w:szCs w:val="22"/>
              </w:rPr>
              <w:t>īto dokumentu saņemšanai</w:t>
            </w:r>
            <w:bookmarkEnd w:id="1"/>
            <w:r>
              <w:rPr>
                <w:rFonts w:eastAsia="Times New Roman" w:cs="Times New Roman" w:ascii="Times New Roman" w:hAnsi="Times New Roman"/>
                <w:sz w:val="22"/>
                <w:szCs w:val="22"/>
              </w:rPr>
              <w:t>:</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r>
          </w:p>
        </w:tc>
      </w:tr>
      <w:tr>
        <w:trPr/>
        <w:tc>
          <w:tcPr>
            <w:tcW w:w="6237" w:type="dxa"/>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t>Datums</w:t>
            </w:r>
          </w:p>
        </w:tc>
        <w:tc>
          <w:tcPr>
            <w:tcW w:w="2976"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120" w:after="120"/>
              <w:rPr>
                <w:rFonts w:ascii="Times New Roman" w:hAnsi="Times New Roman" w:eastAsia="Times New Roman" w:cs="Times New Roman"/>
              </w:rPr>
            </w:pPr>
            <w:r>
              <w:rPr>
                <w:rFonts w:eastAsia="Times New Roman" w:cs="Times New Roman" w:ascii="Times New Roman" w:hAnsi="Times New Roman"/>
              </w:rPr>
            </w:r>
          </w:p>
        </w:tc>
      </w:tr>
    </w:tbl>
    <w:p>
      <w:pPr>
        <w:pStyle w:val="Normal"/>
        <w:tabs>
          <w:tab w:val="clear" w:pos="720"/>
          <w:tab w:val="left" w:pos="38" w:leader="none"/>
        </w:tabs>
        <w:suppressAutoHyphens w:val="true"/>
        <w:spacing w:lineRule="auto" w:line="240" w:before="0" w:after="0"/>
        <w:jc w:val="right"/>
        <w:rPr>
          <w:rFonts w:ascii="Times New Roman" w:hAnsi="Times New Roman" w:eastAsia="Times New Roman" w:cs="Times New Roman"/>
          <w:b/>
          <w:b/>
          <w:sz w:val="24"/>
          <w:lang w:eastAsia="ar-SA"/>
        </w:rPr>
      </w:pPr>
      <w:r>
        <w:rPr>
          <w:rFonts w:eastAsia="Times New Roman" w:cs="Times New Roman" w:ascii="Times New Roman" w:hAnsi="Times New Roman"/>
          <w:b/>
          <w:sz w:val="24"/>
          <w:lang w:eastAsia="ar-SA"/>
        </w:rPr>
      </w:r>
      <w:r>
        <w:br w:type="page"/>
      </w:r>
    </w:p>
    <w:p>
      <w:pPr>
        <w:pStyle w:val="Normal"/>
        <w:keepNext w:val="true"/>
        <w:numPr>
          <w:ilvl w:val="0"/>
          <w:numId w:val="0"/>
        </w:numPr>
        <w:suppressAutoHyphens w:val="true"/>
        <w:spacing w:before="0" w:after="0"/>
        <w:jc w:val="right"/>
        <w:outlineLvl w:val="3"/>
        <w:rPr>
          <w:b w:val="false"/>
          <w:b w:val="false"/>
          <w:bCs w:val="false"/>
          <w:sz w:val="22"/>
          <w:szCs w:val="22"/>
        </w:rPr>
      </w:pPr>
      <w:r>
        <w:rPr>
          <w:rFonts w:eastAsia="Times New Roman" w:cs="Times New Roman" w:ascii="Times New Roman" w:hAnsi="Times New Roman"/>
          <w:b w:val="false"/>
          <w:bCs w:val="false"/>
          <w:sz w:val="22"/>
          <w:szCs w:val="22"/>
          <w:lang w:eastAsia="ar-SA"/>
        </w:rPr>
        <w:t xml:space="preserve">2.pielikums </w:t>
      </w:r>
    </w:p>
    <w:p>
      <w:pPr>
        <w:pStyle w:val="Normal"/>
        <w:keepNext w:val="true"/>
        <w:numPr>
          <w:ilvl w:val="0"/>
          <w:numId w:val="0"/>
        </w:numPr>
        <w:suppressAutoHyphens w:val="true"/>
        <w:spacing w:before="0" w:after="0"/>
        <w:jc w:val="right"/>
        <w:outlineLvl w:val="3"/>
        <w:rPr>
          <w:b w:val="false"/>
          <w:b w:val="false"/>
          <w:bCs w:val="false"/>
          <w:sz w:val="22"/>
          <w:szCs w:val="22"/>
        </w:rPr>
      </w:pPr>
      <w:r>
        <w:rPr>
          <w:rFonts w:eastAsia="Times New Roman" w:cs="Times New Roman" w:ascii="Times New Roman" w:hAnsi="Times New Roman"/>
          <w:b w:val="false"/>
          <w:bCs w:val="false"/>
          <w:sz w:val="22"/>
          <w:szCs w:val="22"/>
          <w:lang w:eastAsia="ar-SA"/>
        </w:rPr>
        <w:t xml:space="preserve">Iepirkuma “Transporta dīzeļdegvielas vairumtirdzniecība un piegāde </w:t>
      </w:r>
    </w:p>
    <w:p>
      <w:pPr>
        <w:pStyle w:val="Normal"/>
        <w:numPr>
          <w:ilvl w:val="0"/>
          <w:numId w:val="0"/>
        </w:numPr>
        <w:suppressAutoHyphens w:val="true"/>
        <w:spacing w:lineRule="auto" w:line="240" w:before="0" w:after="0"/>
        <w:jc w:val="right"/>
        <w:outlineLvl w:val="3"/>
        <w:rPr>
          <w:b w:val="false"/>
          <w:b w:val="false"/>
          <w:bCs w:val="false"/>
          <w:sz w:val="22"/>
          <w:szCs w:val="22"/>
        </w:rPr>
      </w:pPr>
      <w:r>
        <w:rPr>
          <w:rFonts w:eastAsia="Times New Roman" w:cs="Times New Roman" w:ascii="Times New Roman" w:hAnsi="Times New Roman"/>
          <w:b w:val="false"/>
          <w:bCs w:val="false"/>
          <w:sz w:val="22"/>
          <w:szCs w:val="22"/>
          <w:lang w:eastAsia="ar-SA"/>
        </w:rPr>
        <w:t>Rucavas novada pašvaldības vajadzībām”, identifikācijas numurs RND 2019/6, nolikumam</w:t>
      </w:r>
    </w:p>
    <w:p>
      <w:pPr>
        <w:pStyle w:val="Normal"/>
        <w:numPr>
          <w:ilvl w:val="0"/>
          <w:numId w:val="0"/>
        </w:numPr>
        <w:suppressAutoHyphens w:val="true"/>
        <w:spacing w:lineRule="auto" w:line="240" w:before="0" w:after="0"/>
        <w:jc w:val="center"/>
        <w:outlineLvl w:val="0"/>
        <w:rPr>
          <w:rFonts w:ascii="Times New Roman" w:hAnsi="Times New Roman" w:eastAsia="Times New Roman" w:cs="Times New Roman"/>
          <w:b/>
          <w:b/>
          <w:caps/>
        </w:rPr>
      </w:pPr>
      <w:r>
        <w:rPr>
          <w:rFonts w:eastAsia="Times New Roman" w:cs="Times New Roman" w:ascii="Times New Roman" w:hAnsi="Times New Roman"/>
          <w:b/>
          <w:caps/>
        </w:rPr>
      </w:r>
    </w:p>
    <w:p>
      <w:pPr>
        <w:pStyle w:val="Normal"/>
        <w:numPr>
          <w:ilvl w:val="0"/>
          <w:numId w:val="0"/>
        </w:numPr>
        <w:suppressAutoHyphens w:val="true"/>
        <w:spacing w:lineRule="auto" w:line="240" w:before="0" w:after="0"/>
        <w:jc w:val="center"/>
        <w:outlineLvl w:val="0"/>
        <w:rPr>
          <w:rFonts w:ascii="Times New Roman" w:hAnsi="Times New Roman" w:eastAsia="Times New Roman" w:cs="Times New Roman"/>
          <w:b/>
          <w:b/>
          <w:caps/>
        </w:rPr>
      </w:pPr>
      <w:r>
        <w:rPr>
          <w:rFonts w:eastAsia="Times New Roman" w:cs="Times New Roman" w:ascii="Times New Roman" w:hAnsi="Times New Roman"/>
          <w:b/>
          <w:caps/>
        </w:rPr>
      </w:r>
    </w:p>
    <w:p>
      <w:pPr>
        <w:pStyle w:val="Normal"/>
        <w:numPr>
          <w:ilvl w:val="0"/>
          <w:numId w:val="0"/>
        </w:numPr>
        <w:suppressAutoHyphens w:val="true"/>
        <w:spacing w:lineRule="auto" w:line="240" w:before="0" w:after="0"/>
        <w:jc w:val="center"/>
        <w:outlineLvl w:val="0"/>
        <w:rPr/>
      </w:pPr>
      <w:r>
        <w:rPr>
          <w:rFonts w:eastAsia="Times New Roman" w:cs="Times New Roman" w:ascii="Times New Roman" w:hAnsi="Times New Roman"/>
          <w:b/>
          <w:caps/>
        </w:rPr>
        <w:t>finanšu piedāvājums</w:t>
      </w:r>
    </w:p>
    <w:p>
      <w:pPr>
        <w:pStyle w:val="Normal"/>
        <w:keepNext w:val="true"/>
        <w:numPr>
          <w:ilvl w:val="0"/>
          <w:numId w:val="0"/>
        </w:numPr>
        <w:tabs>
          <w:tab w:val="clear" w:pos="720"/>
          <w:tab w:val="left" w:pos="1244" w:leader="none"/>
        </w:tabs>
        <w:suppressAutoHyphens w:val="true"/>
        <w:spacing w:lineRule="auto" w:line="240" w:before="0" w:after="0"/>
        <w:outlineLvl w:val="0"/>
        <w:rPr/>
      </w:pPr>
      <w:r>
        <w:rPr>
          <w:rFonts w:eastAsia="Times New Roman" w:cs="Times New Roman" w:ascii="Times New Roman" w:hAnsi="Times New Roman"/>
          <w:b/>
          <w:caps/>
        </w:rPr>
        <w:tab/>
      </w:r>
      <w:r>
        <w:rPr>
          <w:rFonts w:cs="Times New Roman" w:ascii="Times New Roman" w:hAnsi="Times New Roman"/>
          <w:b/>
          <w:bCs/>
        </w:rPr>
        <w:t xml:space="preserve">  </w:t>
      </w:r>
    </w:p>
    <w:p>
      <w:pPr>
        <w:pStyle w:val="Normal"/>
        <w:jc w:val="both"/>
        <w:rPr/>
      </w:pPr>
      <w:r>
        <w:rPr>
          <w:rFonts w:cs="Times New Roman" w:ascii="Times New Roman" w:hAnsi="Times New Roman"/>
        </w:rPr>
        <w:t xml:space="preserve"> </w:t>
      </w:r>
      <w:r>
        <w:rPr>
          <w:rFonts w:cs="Times New Roman" w:ascii="Times New Roman" w:hAnsi="Times New Roman"/>
        </w:rPr>
        <w:t>Mēs</w:t>
      </w:r>
      <w:r>
        <w:rPr>
          <w:rFonts w:cs="Times New Roman" w:ascii="Times New Roman" w:hAnsi="Times New Roman"/>
          <w:i/>
        </w:rPr>
        <w:t>,_____________(nosaukums, reģ. nr.)</w:t>
      </w:r>
      <w:r>
        <w:rPr>
          <w:rFonts w:cs="Times New Roman" w:ascii="Times New Roman" w:hAnsi="Times New Roman"/>
        </w:rPr>
        <w:t xml:space="preserve"> </w:t>
      </w:r>
      <w:r>
        <w:rPr>
          <w:rFonts w:cs="Times New Roman" w:ascii="Times New Roman" w:hAnsi="Times New Roman"/>
          <w:b/>
        </w:rPr>
        <w:t>piedāvājam</w:t>
      </w:r>
      <w:r>
        <w:rPr>
          <w:rFonts w:cs="Times New Roman" w:ascii="Times New Roman" w:hAnsi="Times New Roman"/>
        </w:rPr>
        <w:t xml:space="preserve"> </w:t>
      </w:r>
      <w:r>
        <w:rPr>
          <w:rFonts w:cs="Times New Roman" w:ascii="Times New Roman" w:hAnsi="Times New Roman"/>
          <w:b/>
        </w:rPr>
        <w:t>transporta</w:t>
      </w:r>
      <w:r>
        <w:rPr>
          <w:rFonts w:cs="Times New Roman" w:ascii="Times New Roman" w:hAnsi="Times New Roman"/>
        </w:rPr>
        <w:t xml:space="preserve"> </w:t>
      </w:r>
      <w:r>
        <w:rPr>
          <w:rFonts w:cs="Times New Roman" w:ascii="Times New Roman" w:hAnsi="Times New Roman"/>
          <w:b/>
          <w:bCs/>
        </w:rPr>
        <w:t xml:space="preserve">dīzeļdegvielas vairumtirdzniecību ar piegādi adresē: “Sudrabi”, Rucava, Rucavas pagasts, Rucavas novads, ar savu transportu, atbilstoši Tehniskajai specifikācijai un nolikuma prasībām, </w:t>
      </w:r>
      <w:r>
        <w:rPr>
          <w:rFonts w:cs="Times New Roman" w:ascii="Times New Roman" w:hAnsi="Times New Roman"/>
          <w:b/>
        </w:rPr>
        <w:t xml:space="preserve">ar patstāvīgu atlaidi </w:t>
      </w:r>
      <w:r>
        <w:rPr>
          <w:rFonts w:cs="Times New Roman" w:ascii="Times New Roman" w:hAnsi="Times New Roman"/>
          <w:b/>
          <w:bCs/>
        </w:rPr>
        <w:t>(</w:t>
      </w:r>
      <w:r>
        <w:rPr>
          <w:rFonts w:cs="Times New Roman" w:ascii="Times New Roman" w:hAnsi="Times New Roman"/>
          <w:b/>
        </w:rPr>
        <w:t>EUR 1 (vienam) litram, bez PVN).</w:t>
      </w:r>
    </w:p>
    <w:tbl>
      <w:tblPr>
        <w:tblStyle w:val="TableGrid"/>
        <w:tblW w:w="9287" w:type="dxa"/>
        <w:jc w:val="left"/>
        <w:tblInd w:w="0" w:type="dxa"/>
        <w:tblCellMar>
          <w:top w:w="0" w:type="dxa"/>
          <w:left w:w="108" w:type="dxa"/>
          <w:bottom w:w="0" w:type="dxa"/>
          <w:right w:w="108" w:type="dxa"/>
        </w:tblCellMar>
        <w:tblLook w:firstRow="1" w:noVBand="1" w:lastRow="0" w:firstColumn="1" w:lastColumn="0" w:noHBand="0" w:val="04a0"/>
      </w:tblPr>
      <w:tblGrid>
        <w:gridCol w:w="2321"/>
        <w:gridCol w:w="2322"/>
        <w:gridCol w:w="2321"/>
        <w:gridCol w:w="2322"/>
      </w:tblGrid>
      <w:tr>
        <w:trPr/>
        <w:tc>
          <w:tcPr>
            <w:tcW w:w="2321" w:type="dxa"/>
            <w:tcBorders/>
            <w:shd w:fill="auto" w:val="clear"/>
          </w:tcPr>
          <w:p>
            <w:pPr>
              <w:pStyle w:val="Normal"/>
              <w:spacing w:lineRule="auto" w:line="240" w:before="0" w:after="0"/>
              <w:jc w:val="center"/>
              <w:rPr/>
            </w:pPr>
            <w:r>
              <w:rPr>
                <w:rFonts w:cs="Times New Roman" w:ascii="Times New Roman" w:hAnsi="Times New Roman"/>
                <w:bCs/>
              </w:rPr>
              <w:t>Degviela</w:t>
            </w:r>
          </w:p>
        </w:tc>
        <w:tc>
          <w:tcPr>
            <w:tcW w:w="2322" w:type="dxa"/>
            <w:tcBorders/>
            <w:shd w:fill="auto" w:val="clear"/>
          </w:tcPr>
          <w:p>
            <w:pPr>
              <w:pStyle w:val="Normal"/>
              <w:spacing w:lineRule="auto" w:line="240" w:before="0" w:after="0"/>
              <w:jc w:val="center"/>
              <w:rPr/>
            </w:pPr>
            <w:r>
              <w:rPr>
                <w:rFonts w:cs="Times New Roman" w:ascii="Times New Roman" w:hAnsi="Times New Roman"/>
                <w:color w:val="000000"/>
              </w:rPr>
              <w:t>Cena bez PVN</w:t>
            </w:r>
          </w:p>
          <w:p>
            <w:pPr>
              <w:pStyle w:val="Normal"/>
              <w:spacing w:lineRule="auto" w:line="240" w:before="0" w:after="0"/>
              <w:jc w:val="center"/>
              <w:rPr/>
            </w:pPr>
            <w:r>
              <w:rPr>
                <w:rFonts w:cs="Times New Roman" w:ascii="Times New Roman" w:hAnsi="Times New Roman"/>
                <w:color w:val="000000"/>
              </w:rPr>
              <w:t>EUR litrā</w:t>
            </w:r>
          </w:p>
          <w:p>
            <w:pPr>
              <w:pStyle w:val="Normal"/>
              <w:spacing w:lineRule="auto" w:line="240" w:before="0" w:after="0"/>
              <w:jc w:val="center"/>
              <w:rPr/>
            </w:pPr>
            <w:r>
              <w:rPr>
                <w:rFonts w:cs="Times New Roman" w:ascii="Times New Roman" w:hAnsi="Times New Roman"/>
                <w:color w:val="000000"/>
              </w:rPr>
              <w:t>Uz 19.06.2019.</w:t>
            </w:r>
          </w:p>
        </w:tc>
        <w:tc>
          <w:tcPr>
            <w:tcW w:w="2321" w:type="dxa"/>
            <w:tcBorders/>
            <w:shd w:fill="auto" w:val="clear"/>
          </w:tcPr>
          <w:p>
            <w:pPr>
              <w:pStyle w:val="Normal"/>
              <w:spacing w:lineRule="auto" w:line="240" w:before="0" w:after="0"/>
              <w:jc w:val="center"/>
              <w:rPr/>
            </w:pPr>
            <w:r>
              <w:rPr>
                <w:rFonts w:eastAsia="Times New Roman" w:cs="Times New Roman" w:ascii="Times New Roman" w:hAnsi="Times New Roman"/>
                <w:color w:val="000000"/>
              </w:rPr>
              <w:t>Atlaide, EUR no cenas par 1 (vienu) litru</w:t>
            </w:r>
            <w:r>
              <w:rPr>
                <w:rFonts w:eastAsia="Times New Roman" w:cs="Times New Roman" w:ascii="Times New Roman" w:hAnsi="Times New Roman"/>
                <w:color w:val="000000"/>
                <w:vertAlign w:val="superscript"/>
              </w:rPr>
              <w:t xml:space="preserve"> </w:t>
            </w:r>
          </w:p>
          <w:p>
            <w:pPr>
              <w:pStyle w:val="Normal"/>
              <w:spacing w:lineRule="auto" w:line="240" w:before="0" w:after="0"/>
              <w:jc w:val="center"/>
              <w:rPr>
                <w:rFonts w:ascii="Times New Roman" w:hAnsi="Times New Roman" w:cs="Times New Roman"/>
                <w:bCs/>
              </w:rPr>
            </w:pPr>
            <w:r>
              <w:rPr>
                <w:rFonts w:cs="Times New Roman" w:ascii="Times New Roman" w:hAnsi="Times New Roman"/>
                <w:bCs/>
              </w:rPr>
            </w:r>
          </w:p>
        </w:tc>
        <w:tc>
          <w:tcPr>
            <w:tcW w:w="2322" w:type="dxa"/>
            <w:tcBorders/>
            <w:shd w:fill="auto" w:val="clear"/>
          </w:tcPr>
          <w:p>
            <w:pPr>
              <w:pStyle w:val="Normal"/>
              <w:spacing w:lineRule="auto" w:line="240" w:before="0" w:after="0"/>
              <w:jc w:val="center"/>
              <w:rPr/>
            </w:pPr>
            <w:r>
              <w:rPr>
                <w:rFonts w:cs="Times New Roman" w:ascii="Times New Roman" w:hAnsi="Times New Roman"/>
                <w:bCs/>
                <w:color w:val="000000"/>
              </w:rPr>
              <w:t>Cena bez PVN</w:t>
            </w:r>
          </w:p>
          <w:p>
            <w:pPr>
              <w:pStyle w:val="Normal"/>
              <w:spacing w:lineRule="auto" w:line="240" w:before="0" w:after="0"/>
              <w:jc w:val="center"/>
              <w:rPr/>
            </w:pPr>
            <w:r>
              <w:rPr>
                <w:rFonts w:cs="Times New Roman" w:ascii="Times New Roman" w:hAnsi="Times New Roman"/>
                <w:bCs/>
                <w:color w:val="000000"/>
              </w:rPr>
              <w:t>EUR litrā kopā ar atlaidi</w:t>
            </w:r>
          </w:p>
        </w:tc>
      </w:tr>
      <w:tr>
        <w:trPr/>
        <w:tc>
          <w:tcPr>
            <w:tcW w:w="2321" w:type="dxa"/>
            <w:tcBorders/>
            <w:shd w:fill="auto" w:val="clear"/>
          </w:tcPr>
          <w:p>
            <w:pPr>
              <w:pStyle w:val="Normal"/>
              <w:spacing w:lineRule="auto" w:line="240" w:before="0" w:after="0"/>
              <w:jc w:val="center"/>
              <w:rPr/>
            </w:pPr>
            <w:r>
              <w:rPr>
                <w:rFonts w:cs="Times New Roman" w:ascii="Times New Roman" w:hAnsi="Times New Roman"/>
                <w:bCs/>
              </w:rPr>
              <w:t>1.</w:t>
            </w:r>
          </w:p>
        </w:tc>
        <w:tc>
          <w:tcPr>
            <w:tcW w:w="2322" w:type="dxa"/>
            <w:tcBorders/>
            <w:shd w:fill="auto" w:val="clear"/>
          </w:tcPr>
          <w:p>
            <w:pPr>
              <w:pStyle w:val="Normal"/>
              <w:spacing w:lineRule="auto" w:line="240" w:before="0" w:after="0"/>
              <w:jc w:val="center"/>
              <w:rPr/>
            </w:pPr>
            <w:r>
              <w:rPr>
                <w:rFonts w:cs="Times New Roman" w:ascii="Times New Roman" w:hAnsi="Times New Roman"/>
                <w:color w:val="000000"/>
              </w:rPr>
              <w:t>2.</w:t>
            </w:r>
          </w:p>
        </w:tc>
        <w:tc>
          <w:tcPr>
            <w:tcW w:w="2321" w:type="dxa"/>
            <w:tcBorders/>
            <w:shd w:fill="auto" w:val="clear"/>
          </w:tcPr>
          <w:p>
            <w:pPr>
              <w:pStyle w:val="Normal"/>
              <w:spacing w:lineRule="auto" w:line="240" w:before="0" w:after="0"/>
              <w:jc w:val="center"/>
              <w:rPr/>
            </w:pPr>
            <w:r>
              <w:rPr>
                <w:rFonts w:eastAsia="Times New Roman" w:cs="Times New Roman" w:ascii="Times New Roman" w:hAnsi="Times New Roman"/>
                <w:color w:val="000000"/>
              </w:rPr>
              <w:t>3.</w:t>
            </w:r>
          </w:p>
        </w:tc>
        <w:tc>
          <w:tcPr>
            <w:tcW w:w="2322" w:type="dxa"/>
            <w:tcBorders/>
            <w:shd w:fill="auto" w:val="clear"/>
          </w:tcPr>
          <w:p>
            <w:pPr>
              <w:pStyle w:val="Normal"/>
              <w:spacing w:lineRule="auto" w:line="240" w:before="0" w:after="0"/>
              <w:jc w:val="center"/>
              <w:rPr/>
            </w:pPr>
            <w:r>
              <w:rPr>
                <w:rFonts w:cs="Times New Roman" w:ascii="Times New Roman" w:hAnsi="Times New Roman"/>
                <w:bCs/>
                <w:color w:val="000000"/>
              </w:rPr>
              <w:t>4.</w:t>
            </w:r>
          </w:p>
        </w:tc>
      </w:tr>
      <w:tr>
        <w:trPr/>
        <w:tc>
          <w:tcPr>
            <w:tcW w:w="2321" w:type="dxa"/>
            <w:tcBorders/>
            <w:shd w:fill="auto" w:val="clear"/>
          </w:tcPr>
          <w:p>
            <w:pPr>
              <w:pStyle w:val="Normal"/>
              <w:spacing w:lineRule="auto" w:line="240" w:before="0" w:after="0"/>
              <w:jc w:val="center"/>
              <w:rPr/>
            </w:pPr>
            <w:r>
              <w:rPr>
                <w:rFonts w:cs="Times New Roman" w:ascii="Times New Roman" w:hAnsi="Times New Roman"/>
                <w:b/>
                <w:bCs/>
              </w:rPr>
              <w:t>Dīzeļdegviela</w:t>
            </w:r>
          </w:p>
        </w:tc>
        <w:tc>
          <w:tcPr>
            <w:tcW w:w="2322" w:type="dxa"/>
            <w:tcBorders/>
            <w:shd w:fill="auto" w:val="clear"/>
          </w:tcPr>
          <w:p>
            <w:pPr>
              <w:pStyle w:val="Normal"/>
              <w:spacing w:lineRule="auto" w:line="240" w:before="0" w:after="0"/>
              <w:jc w:val="right"/>
              <w:rPr>
                <w:rFonts w:ascii="Times New Roman" w:hAnsi="Times New Roman" w:cs="Times New Roman"/>
                <w:b/>
                <w:b/>
                <w:bCs/>
              </w:rPr>
            </w:pPr>
            <w:r>
              <w:rPr>
                <w:rFonts w:cs="Times New Roman" w:ascii="Times New Roman" w:hAnsi="Times New Roman"/>
                <w:b/>
                <w:bCs/>
              </w:rPr>
            </w:r>
          </w:p>
        </w:tc>
        <w:tc>
          <w:tcPr>
            <w:tcW w:w="2321" w:type="dxa"/>
            <w:tcBorders/>
            <w:shd w:fill="auto" w:val="clear"/>
          </w:tcPr>
          <w:p>
            <w:pPr>
              <w:pStyle w:val="Normal"/>
              <w:spacing w:lineRule="auto" w:line="240" w:before="0" w:after="0"/>
              <w:jc w:val="right"/>
              <w:rPr>
                <w:rFonts w:ascii="Times New Roman" w:hAnsi="Times New Roman" w:cs="Times New Roman"/>
                <w:b/>
                <w:b/>
                <w:bCs/>
              </w:rPr>
            </w:pPr>
            <w:r>
              <w:rPr>
                <w:rFonts w:cs="Times New Roman" w:ascii="Times New Roman" w:hAnsi="Times New Roman"/>
                <w:b/>
                <w:bCs/>
              </w:rPr>
            </w:r>
          </w:p>
        </w:tc>
        <w:tc>
          <w:tcPr>
            <w:tcW w:w="2322" w:type="dxa"/>
            <w:tcBorders/>
            <w:shd w:fill="auto" w:val="clear"/>
          </w:tcPr>
          <w:p>
            <w:pPr>
              <w:pStyle w:val="Normal"/>
              <w:spacing w:lineRule="auto" w:line="240" w:before="0" w:after="0"/>
              <w:jc w:val="center"/>
              <w:rPr/>
            </w:pPr>
            <w:r>
              <w:rPr>
                <w:rFonts w:cs="Times New Roman" w:ascii="Times New Roman" w:hAnsi="Times New Roman"/>
                <w:b/>
                <w:bCs/>
              </w:rPr>
              <w:t>*</w:t>
            </w:r>
          </w:p>
        </w:tc>
      </w:tr>
    </w:tbl>
    <w:p>
      <w:pPr>
        <w:pStyle w:val="Normal"/>
        <w:tabs>
          <w:tab w:val="clear" w:pos="720"/>
          <w:tab w:val="left" w:pos="309" w:leader="none"/>
        </w:tabs>
        <w:rPr/>
      </w:pPr>
      <w:r>
        <w:rPr>
          <w:rFonts w:cs="Times New Roman" w:ascii="Times New Roman" w:hAnsi="Times New Roman"/>
          <w:b/>
          <w:bCs/>
        </w:rPr>
        <w:tab/>
      </w:r>
      <w:r>
        <w:rPr/>
        <w:t xml:space="preserve"> </w:t>
      </w:r>
      <w:r>
        <w:rPr>
          <w:rFonts w:cs="Times New Roman" w:ascii="Times New Roman" w:hAnsi="Times New Roman"/>
        </w:rPr>
        <w:t xml:space="preserve">* </w:t>
      </w:r>
      <w:r>
        <w:rPr>
          <w:rFonts w:cs="Times New Roman" w:ascii="Times New Roman" w:hAnsi="Times New Roman"/>
          <w:i/>
        </w:rPr>
        <w:t>vērtējamā summa</w:t>
      </w:r>
    </w:p>
    <w:p>
      <w:pPr>
        <w:pStyle w:val="NoSpacing"/>
        <w:jc w:val="both"/>
        <w:rPr/>
      </w:pPr>
      <w:r>
        <w:rPr>
          <w:i/>
          <w:sz w:val="22"/>
          <w:szCs w:val="22"/>
        </w:rPr>
        <w:t>Piedāvājumā cenas un izmaksas jāuzrāda euro (EUR) ar precizitāti līdz 3 (trijiem) cipariem aiz komata.</w:t>
      </w:r>
    </w:p>
    <w:p>
      <w:pPr>
        <w:pStyle w:val="NoSpacing"/>
        <w:rPr>
          <w:sz w:val="22"/>
          <w:szCs w:val="22"/>
        </w:rPr>
      </w:pPr>
      <w:r>
        <w:rPr>
          <w:sz w:val="22"/>
          <w:szCs w:val="22"/>
        </w:rPr>
      </w:r>
    </w:p>
    <w:p>
      <w:pPr>
        <w:pStyle w:val="NoSpacing"/>
        <w:numPr>
          <w:ilvl w:val="0"/>
          <w:numId w:val="18"/>
        </w:numPr>
        <w:jc w:val="both"/>
        <w:rPr/>
      </w:pPr>
      <w:r>
        <w:rPr>
          <w:sz w:val="22"/>
          <w:szCs w:val="22"/>
        </w:rPr>
        <w:t>Pretendents 1.tabulas 2.ailē norāda informāciju par Pretendenta noteikto dīzeļdegvielas   vairumtirdzniecības cenu uz 2019.gada 19.jūniju.</w:t>
      </w:r>
    </w:p>
    <w:p>
      <w:pPr>
        <w:pStyle w:val="ListParagraph"/>
        <w:numPr>
          <w:ilvl w:val="0"/>
          <w:numId w:val="18"/>
        </w:numPr>
        <w:tabs>
          <w:tab w:val="clear" w:pos="720"/>
          <w:tab w:val="left" w:pos="38" w:leader="none"/>
        </w:tabs>
        <w:suppressAutoHyphens w:val="true"/>
        <w:spacing w:lineRule="auto" w:line="240" w:before="0" w:after="0"/>
        <w:contextualSpacing/>
        <w:jc w:val="both"/>
        <w:rPr/>
      </w:pPr>
      <w:r>
        <w:rPr>
          <w:rFonts w:cs="Times New Roman" w:ascii="Times New Roman" w:hAnsi="Times New Roman"/>
          <w:u w:val="single"/>
        </w:rPr>
        <w:t xml:space="preserve">Norādītās atlaides 1.tabulas 3.ailē (EUR/l) līguma darbības laikā nevar tikt samazinātas. </w:t>
      </w:r>
    </w:p>
    <w:p>
      <w:pPr>
        <w:pStyle w:val="Normal"/>
        <w:tabs>
          <w:tab w:val="clear" w:pos="720"/>
          <w:tab w:val="left" w:pos="38" w:leader="none"/>
        </w:tabs>
        <w:suppressAutoHyphens w:val="true"/>
        <w:spacing w:lineRule="auto" w:line="240" w:before="0" w:after="0"/>
        <w:rPr>
          <w:rFonts w:ascii="Times New Roman" w:hAnsi="Times New Roman" w:cs="Times New Roman"/>
          <w:i/>
          <w:i/>
        </w:rPr>
      </w:pPr>
      <w:r>
        <w:rPr>
          <w:rFonts w:cs="Times New Roman" w:ascii="Times New Roman" w:hAnsi="Times New Roman"/>
          <w:i/>
        </w:rPr>
      </w:r>
    </w:p>
    <w:p>
      <w:pPr>
        <w:pStyle w:val="Normal"/>
        <w:tabs>
          <w:tab w:val="clear" w:pos="720"/>
          <w:tab w:val="left" w:pos="38" w:leader="none"/>
        </w:tabs>
        <w:suppressAutoHyphens w:val="true"/>
        <w:spacing w:lineRule="auto" w:line="240" w:before="0" w:after="0"/>
        <w:rPr/>
      </w:pPr>
      <w:r>
        <w:rPr>
          <w:rFonts w:cs="Times New Roman" w:ascii="Times New Roman" w:hAnsi="Times New Roman"/>
        </w:rPr>
        <w:t xml:space="preserve">Apliecinām, ka līguma darbības laikā mūsu piedāvājumā noteiktās </w:t>
      </w:r>
      <w:r>
        <w:rPr>
          <w:rFonts w:cs="Times New Roman" w:ascii="Times New Roman" w:hAnsi="Times New Roman"/>
          <w:b/>
        </w:rPr>
        <w:t>atlaides EUR  1 (vienam) litram dīzeļdegvielas, bez PVN, netiks samazinātas.</w:t>
      </w:r>
    </w:p>
    <w:p>
      <w:pPr>
        <w:pStyle w:val="Normal"/>
        <w:spacing w:lineRule="auto" w:line="240" w:before="0" w:after="0"/>
        <w:jc w:val="both"/>
        <w:rPr/>
      </w:pPr>
      <w:r>
        <w:rPr>
          <w:rFonts w:cs="Times New Roman" w:ascii="Times New Roman" w:hAnsi="Times New Roman"/>
        </w:rPr>
        <w:t xml:space="preserve"> </w:t>
      </w:r>
    </w:p>
    <w:p>
      <w:pPr>
        <w:pStyle w:val="NoSpacing"/>
        <w:jc w:val="center"/>
        <w:rPr/>
      </w:pPr>
      <w:r>
        <w:rPr>
          <w:sz w:val="22"/>
          <w:szCs w:val="22"/>
        </w:rPr>
        <w:t xml:space="preserve"> </w:t>
      </w:r>
    </w:p>
    <w:tbl>
      <w:tblPr>
        <w:tblpPr w:bottomFromText="0" w:horzAnchor="margin" w:leftFromText="180" w:rightFromText="180" w:tblpX="5" w:tblpY="74" w:topFromText="0" w:vertAnchor="text"/>
        <w:tblW w:w="8966" w:type="dxa"/>
        <w:jc w:val="left"/>
        <w:tblInd w:w="108" w:type="dxa"/>
        <w:tblBorders/>
        <w:tblCellMar>
          <w:top w:w="0" w:type="dxa"/>
          <w:left w:w="108" w:type="dxa"/>
          <w:bottom w:w="0" w:type="dxa"/>
          <w:right w:w="108" w:type="dxa"/>
        </w:tblCellMar>
        <w:tblLook w:firstRow="0" w:noVBand="0" w:lastRow="0" w:firstColumn="0" w:lastColumn="0" w:noHBand="0" w:val="0000"/>
      </w:tblPr>
      <w:tblGrid>
        <w:gridCol w:w="4786"/>
        <w:gridCol w:w="4179"/>
      </w:tblGrid>
      <w:tr>
        <w:trPr/>
        <w:tc>
          <w:tcPr>
            <w:tcW w:w="4786" w:type="dxa"/>
            <w:tcBorders/>
            <w:shd w:fill="auto" w:val="clear"/>
          </w:tcPr>
          <w:p>
            <w:pPr>
              <w:pStyle w:val="Normal"/>
              <w:suppressAutoHyphens w:val="true"/>
              <w:snapToGrid w:val="false"/>
              <w:spacing w:lineRule="auto" w:line="240" w:before="120" w:after="120"/>
              <w:jc w:val="both"/>
              <w:rPr/>
            </w:pPr>
            <w:r>
              <w:rPr>
                <w:rFonts w:eastAsia="Times New Roman" w:cs="Times New Roman" w:ascii="Times New Roman" w:hAnsi="Times New Roman"/>
              </w:rPr>
              <w:t>Amatpersonas vai pilnvarotās personas paraksts:</w:t>
            </w:r>
          </w:p>
        </w:tc>
        <w:tc>
          <w:tcPr>
            <w:tcW w:w="4179" w:type="dxa"/>
            <w:tcBorders>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right"/>
              <w:rPr>
                <w:rFonts w:ascii="Times New Roman" w:hAnsi="Times New Roman" w:eastAsia="Times New Roman" w:cs="Times New Roman"/>
              </w:rPr>
            </w:pPr>
            <w:r>
              <w:rPr>
                <w:rFonts w:eastAsia="Times New Roman" w:cs="Times New Roman" w:ascii="Times New Roman" w:hAnsi="Times New Roman"/>
              </w:rPr>
            </w:r>
          </w:p>
        </w:tc>
      </w:tr>
      <w:tr>
        <w:trPr/>
        <w:tc>
          <w:tcPr>
            <w:tcW w:w="4786" w:type="dxa"/>
            <w:tcBorders/>
            <w:shd w:fill="auto" w:val="clear"/>
          </w:tcPr>
          <w:p>
            <w:pPr>
              <w:pStyle w:val="Normal"/>
              <w:suppressAutoHyphens w:val="true"/>
              <w:snapToGrid w:val="false"/>
              <w:spacing w:lineRule="auto" w:line="240" w:before="120" w:after="120"/>
              <w:jc w:val="both"/>
              <w:rPr/>
            </w:pPr>
            <w:r>
              <w:rPr>
                <w:rFonts w:eastAsia="Times New Roman" w:cs="Times New Roman" w:ascii="Times New Roman" w:hAnsi="Times New Roman"/>
              </w:rPr>
              <w:t>Parakstītāja vārds, uzvārds un amats:</w:t>
            </w:r>
          </w:p>
        </w:tc>
        <w:tc>
          <w:tcPr>
            <w:tcW w:w="4179"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rPr>
            </w:pPr>
            <w:r>
              <w:rPr>
                <w:rFonts w:eastAsia="Times New Roman" w:cs="Times New Roman" w:ascii="Times New Roman" w:hAnsi="Times New Roman"/>
              </w:rPr>
            </w:r>
          </w:p>
        </w:tc>
      </w:tr>
      <w:tr>
        <w:trPr/>
        <w:tc>
          <w:tcPr>
            <w:tcW w:w="4786" w:type="dxa"/>
            <w:tcBorders/>
            <w:shd w:fill="auto" w:val="clear"/>
          </w:tcPr>
          <w:p>
            <w:pPr>
              <w:pStyle w:val="Normal"/>
              <w:suppressAutoHyphens w:val="true"/>
              <w:snapToGrid w:val="false"/>
              <w:spacing w:lineRule="auto" w:line="240" w:before="120" w:after="120"/>
              <w:jc w:val="both"/>
              <w:rPr/>
            </w:pPr>
            <w:r>
              <w:rPr>
                <w:rFonts w:eastAsia="Times New Roman" w:cs="Times New Roman" w:ascii="Times New Roman" w:hAnsi="Times New Roman"/>
              </w:rPr>
              <w:t>Pretendenta nosaukums:</w:t>
            </w:r>
          </w:p>
        </w:tc>
        <w:tc>
          <w:tcPr>
            <w:tcW w:w="4179"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rPr>
            </w:pPr>
            <w:r>
              <w:rPr>
                <w:rFonts w:eastAsia="Times New Roman" w:cs="Times New Roman" w:ascii="Times New Roman" w:hAnsi="Times New Roman"/>
              </w:rPr>
            </w:r>
          </w:p>
        </w:tc>
      </w:tr>
      <w:tr>
        <w:trPr/>
        <w:tc>
          <w:tcPr>
            <w:tcW w:w="4786" w:type="dxa"/>
            <w:tcBorders/>
            <w:shd w:fill="auto" w:val="clear"/>
          </w:tcPr>
          <w:p>
            <w:pPr>
              <w:pStyle w:val="Normal"/>
              <w:suppressAutoHyphens w:val="true"/>
              <w:snapToGrid w:val="false"/>
              <w:spacing w:lineRule="auto" w:line="240" w:before="120" w:after="120"/>
              <w:jc w:val="both"/>
              <w:rPr/>
            </w:pPr>
            <w:r>
              <w:rPr>
                <w:rFonts w:eastAsia="Times New Roman" w:cs="Times New Roman" w:ascii="Times New Roman" w:hAnsi="Times New Roman"/>
              </w:rPr>
              <w:t>Datums</w:t>
            </w:r>
          </w:p>
        </w:tc>
        <w:tc>
          <w:tcPr>
            <w:tcW w:w="4179"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rPr>
            </w:pPr>
            <w:r>
              <w:rPr>
                <w:rFonts w:eastAsia="Times New Roman" w:cs="Times New Roman" w:ascii="Times New Roman" w:hAnsi="Times New Roman"/>
              </w:rPr>
            </w:r>
          </w:p>
        </w:tc>
      </w:tr>
    </w:tbl>
    <w:p>
      <w:pPr>
        <w:pStyle w:val="Normal"/>
        <w:numPr>
          <w:ilvl w:val="0"/>
          <w:numId w:val="0"/>
        </w:numPr>
        <w:suppressAutoHyphens w:val="true"/>
        <w:spacing w:before="0" w:after="0"/>
        <w:ind w:right="-335" w:hanging="0"/>
        <w:jc w:val="center"/>
        <w:outlineLvl w:val="3"/>
        <w:rPr>
          <w:rFonts w:ascii="Times New Roman" w:hAnsi="Times New Roman" w:eastAsia="Times New Roman" w:cs="Times New Roman"/>
          <w:lang w:eastAsia="ar-SA"/>
        </w:rPr>
      </w:pPr>
      <w:r>
        <w:rPr>
          <w:rFonts w:eastAsia="Times New Roman" w:cs="Times New Roman" w:ascii="Times New Roman" w:hAnsi="Times New Roman"/>
          <w:lang w:eastAsia="ar-SA"/>
        </w:rPr>
      </w:r>
      <w:r>
        <w:br w:type="page"/>
      </w:r>
    </w:p>
    <w:p>
      <w:pPr>
        <w:pStyle w:val="Normal"/>
        <w:numPr>
          <w:ilvl w:val="0"/>
          <w:numId w:val="0"/>
        </w:numPr>
        <w:suppressAutoHyphens w:val="true"/>
        <w:spacing w:before="0" w:after="0"/>
        <w:ind w:right="-335" w:hanging="0"/>
        <w:jc w:val="center"/>
        <w:outlineLvl w:val="3"/>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numPr>
          <w:ilvl w:val="0"/>
          <w:numId w:val="0"/>
        </w:numPr>
        <w:suppressAutoHyphens w:val="true"/>
        <w:spacing w:before="0" w:after="0"/>
        <w:jc w:val="right"/>
        <w:outlineLvl w:val="3"/>
        <w:rPr>
          <w:b w:val="false"/>
          <w:b w:val="false"/>
          <w:bCs w:val="false"/>
          <w:sz w:val="22"/>
          <w:szCs w:val="22"/>
        </w:rPr>
      </w:pPr>
      <w:r>
        <w:rPr>
          <w:rFonts w:eastAsia="Times New Roman" w:cs="Times New Roman" w:ascii="Times New Roman" w:hAnsi="Times New Roman"/>
          <w:b w:val="false"/>
          <w:bCs w:val="false"/>
          <w:sz w:val="22"/>
          <w:szCs w:val="22"/>
          <w:lang w:eastAsia="ar-SA"/>
        </w:rPr>
        <w:t xml:space="preserve">3.pielikums </w:t>
      </w:r>
    </w:p>
    <w:p>
      <w:pPr>
        <w:pStyle w:val="Normal"/>
        <w:keepNext w:val="true"/>
        <w:numPr>
          <w:ilvl w:val="0"/>
          <w:numId w:val="0"/>
        </w:numPr>
        <w:suppressAutoHyphens w:val="true"/>
        <w:spacing w:before="0" w:after="0"/>
        <w:jc w:val="right"/>
        <w:outlineLvl w:val="3"/>
        <w:rPr>
          <w:b w:val="false"/>
          <w:b w:val="false"/>
          <w:bCs w:val="false"/>
          <w:sz w:val="22"/>
          <w:szCs w:val="22"/>
        </w:rPr>
      </w:pPr>
      <w:r>
        <w:rPr>
          <w:rFonts w:eastAsia="Times New Roman" w:cs="Times New Roman" w:ascii="Times New Roman" w:hAnsi="Times New Roman"/>
          <w:b w:val="false"/>
          <w:bCs w:val="false"/>
          <w:sz w:val="22"/>
          <w:szCs w:val="22"/>
          <w:lang w:eastAsia="ar-SA"/>
        </w:rPr>
        <w:t xml:space="preserve">Iepirkuma “Transporta dīzeļdegvielas vairumtirdzniecība un piegāde </w:t>
      </w:r>
    </w:p>
    <w:p>
      <w:pPr>
        <w:pStyle w:val="Normal"/>
        <w:numPr>
          <w:ilvl w:val="0"/>
          <w:numId w:val="0"/>
        </w:numPr>
        <w:suppressAutoHyphens w:val="true"/>
        <w:spacing w:lineRule="auto" w:line="240" w:before="0" w:after="0"/>
        <w:jc w:val="right"/>
        <w:outlineLvl w:val="3"/>
        <w:rPr>
          <w:b w:val="false"/>
          <w:b w:val="false"/>
          <w:bCs w:val="false"/>
          <w:sz w:val="22"/>
          <w:szCs w:val="22"/>
        </w:rPr>
      </w:pPr>
      <w:r>
        <w:rPr>
          <w:rFonts w:eastAsia="Times New Roman" w:cs="Times New Roman" w:ascii="Times New Roman" w:hAnsi="Times New Roman"/>
          <w:b w:val="false"/>
          <w:bCs w:val="false"/>
          <w:sz w:val="22"/>
          <w:szCs w:val="22"/>
          <w:lang w:eastAsia="ar-SA"/>
        </w:rPr>
        <w:t>Rucavas novada pašvaldības vajadzībām”, identifikācijas numurs RND 2019/6, nolikumam</w:t>
      </w:r>
    </w:p>
    <w:p>
      <w:pPr>
        <w:pStyle w:val="Normal"/>
        <w:numPr>
          <w:ilvl w:val="0"/>
          <w:numId w:val="0"/>
        </w:numPr>
        <w:suppressAutoHyphens w:val="true"/>
        <w:spacing w:lineRule="auto" w:line="240" w:before="0" w:after="0"/>
        <w:jc w:val="right"/>
        <w:outlineLvl w:val="3"/>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uppressAutoHyphens w:val="true"/>
        <w:spacing w:lineRule="auto" w:line="240" w:before="0" w:after="0"/>
        <w:rPr>
          <w:rFonts w:ascii="Times New Roman" w:hAnsi="Times New Roman" w:eastAsia="Times New Roman" w:cs="Times New Roman"/>
          <w:b/>
          <w:b/>
          <w:lang w:eastAsia="ar-SA"/>
        </w:rPr>
      </w:pPr>
      <w:r>
        <w:rPr>
          <w:rFonts w:eastAsia="Times New Roman" w:cs="Times New Roman" w:ascii="Times New Roman" w:hAnsi="Times New Roman"/>
          <w:b/>
          <w:lang w:eastAsia="ar-SA"/>
        </w:rPr>
        <w:tab/>
        <w:tab/>
        <w:tab/>
        <w:tab/>
        <w:t>TEHNISKĀ SPECIFIKĀCIJA</w:t>
      </w:r>
    </w:p>
    <w:p>
      <w:pPr>
        <w:pStyle w:val="Normal"/>
        <w:suppressAutoHyphens w:val="true"/>
        <w:spacing w:lineRule="auto" w:line="240" w:before="0" w:after="0"/>
        <w:ind w:left="2880" w:firstLine="72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tabs>
          <w:tab w:val="clear" w:pos="720"/>
          <w:tab w:val="left" w:pos="3240" w:leader="none"/>
        </w:tabs>
        <w:jc w:val="both"/>
        <w:rPr>
          <w:rFonts w:ascii="Times New Roman" w:hAnsi="Times New Roman"/>
        </w:rPr>
      </w:pPr>
      <w:r>
        <w:rPr>
          <w:rFonts w:cs="Times New Roman" w:ascii="Times New Roman" w:hAnsi="Times New Roman"/>
        </w:rPr>
        <w:t xml:space="preserve"> </w:t>
      </w:r>
      <w:r>
        <w:rPr>
          <w:rFonts w:cs="Times New Roman" w:ascii="Times New Roman" w:hAnsi="Times New Roman"/>
          <w:i/>
          <w:iCs/>
        </w:rPr>
        <w:t>_______________________</w:t>
      </w:r>
      <w:r>
        <w:rPr>
          <w:rFonts w:cs="Times New Roman" w:ascii="Times New Roman" w:hAnsi="Times New Roman"/>
          <w:i/>
          <w:iCs/>
          <w:sz w:val="24"/>
          <w:szCs w:val="24"/>
        </w:rPr>
        <w:t>(pretendenta nosaukums, reģ.nr.)</w:t>
      </w:r>
      <w:r>
        <w:rPr>
          <w:rFonts w:cs="Times New Roman" w:ascii="Times New Roman" w:hAnsi="Times New Roman"/>
          <w:sz w:val="24"/>
          <w:szCs w:val="24"/>
        </w:rPr>
        <w:t xml:space="preserve"> iepirkuma "Transporta dīzeļdegvielas vairumtirdzniecība un piegāde Rucavas novada pašvaldības vajadzībām" </w:t>
      </w:r>
      <w:r>
        <w:rPr>
          <w:rFonts w:eastAsia="Times New Roman" w:cs="Times New Roman" w:ascii="Times New Roman" w:hAnsi="Times New Roman"/>
          <w:b w:val="false"/>
          <w:bCs w:val="false"/>
          <w:sz w:val="24"/>
          <w:szCs w:val="24"/>
          <w:lang w:eastAsia="ar-SA"/>
        </w:rPr>
        <w:t>identifikācijas numurs RND 2019/6,</w:t>
      </w:r>
      <w:r>
        <w:rPr>
          <w:rFonts w:cs="Times New Roman" w:ascii="Times New Roman" w:hAnsi="Times New Roman"/>
          <w:sz w:val="24"/>
          <w:szCs w:val="24"/>
        </w:rPr>
        <w:t xml:space="preserve"> ietvaros, </w:t>
      </w:r>
      <w:r>
        <w:rPr>
          <w:rFonts w:cs="Times New Roman" w:ascii="Times New Roman" w:hAnsi="Times New Roman"/>
          <w:b/>
          <w:sz w:val="24"/>
          <w:szCs w:val="24"/>
        </w:rPr>
        <w:t>apņemas piegādāt dīzeļdegvielu, atbilstoši Tehniskai specifikācijai:</w:t>
      </w:r>
    </w:p>
    <w:p>
      <w:pPr>
        <w:pStyle w:val="NoSpacing1"/>
        <w:numPr>
          <w:ilvl w:val="1"/>
          <w:numId w:val="9"/>
        </w:numPr>
        <w:jc w:val="both"/>
        <w:rPr>
          <w:rFonts w:ascii="Times New Roman" w:hAnsi="Times New Roman"/>
        </w:rPr>
      </w:pPr>
      <w:r>
        <w:rPr>
          <w:rFonts w:ascii="Times New Roman" w:hAnsi="Times New Roman"/>
          <w:sz w:val="24"/>
          <w:szCs w:val="24"/>
        </w:rPr>
        <w:t xml:space="preserve">Garantējam pārdotās dīzeļdegvielas kvalitātes atbilstību Latvijas valsts standartiem un </w:t>
      </w:r>
      <w:r>
        <w:rPr>
          <w:rFonts w:ascii="Times New Roman" w:hAnsi="Times New Roman"/>
          <w:color w:val="000000"/>
          <w:sz w:val="24"/>
          <w:szCs w:val="24"/>
        </w:rPr>
        <w:t xml:space="preserve">Ministru kabineta 2000.gada 26.septembra noteikumiem Nr.332 „Noteikumi par benzīna un dīzeļdegvielas atbilstības novērtēšanu”, </w:t>
      </w:r>
      <w:r>
        <w:rPr>
          <w:rFonts w:ascii="Times New Roman" w:hAnsi="Times New Roman"/>
          <w:sz w:val="24"/>
          <w:szCs w:val="24"/>
        </w:rPr>
        <w:t xml:space="preserve">arī gadījumos, kad šādas prasības tiek mainītas; </w:t>
      </w:r>
    </w:p>
    <w:p>
      <w:pPr>
        <w:pStyle w:val="NoSpacing1"/>
        <w:numPr>
          <w:ilvl w:val="1"/>
          <w:numId w:val="9"/>
        </w:numPr>
        <w:jc w:val="both"/>
        <w:rPr>
          <w:rFonts w:ascii="Times New Roman" w:hAnsi="Times New Roman"/>
        </w:rPr>
      </w:pPr>
      <w:r>
        <w:rPr>
          <w:rFonts w:ascii="Times New Roman" w:hAnsi="Times New Roman"/>
          <w:sz w:val="24"/>
          <w:szCs w:val="24"/>
        </w:rPr>
        <w:t>Katrai piegādes partijai tiek pievienots atbilstības apliecinājums, atbilstoši Ministru kabineta 2000.gada 26.septembra noteikumiem Nr.332„Noteikumi par benzīna un dīzeļdegvielas atbilstības novērtēšanu”.</w:t>
      </w:r>
    </w:p>
    <w:p>
      <w:pPr>
        <w:pStyle w:val="NoSpacing1"/>
        <w:numPr>
          <w:ilvl w:val="1"/>
          <w:numId w:val="9"/>
        </w:numPr>
        <w:jc w:val="both"/>
        <w:rPr>
          <w:rFonts w:ascii="Times New Roman" w:hAnsi="Times New Roman"/>
        </w:rPr>
      </w:pPr>
      <w:r>
        <w:rPr>
          <w:rFonts w:ascii="Times New Roman" w:hAnsi="Times New Roman"/>
          <w:sz w:val="24"/>
          <w:szCs w:val="24"/>
        </w:rPr>
        <w:t>Nodrošinām sezonai atbilstošas dīzeļdegvielas piegādi uz pretendenta norādīto vietu – “Sudrabi”, (nekustamā īpašuma kadastra Nr.64840080455), Rucava, Rucavas pagasts, Rucavas novads, atbilstoši Tehniskās specifikācijas prasībām.</w:t>
      </w:r>
    </w:p>
    <w:p>
      <w:pPr>
        <w:pStyle w:val="ListParagraph"/>
        <w:numPr>
          <w:ilvl w:val="1"/>
          <w:numId w:val="9"/>
        </w:numPr>
        <w:tabs>
          <w:tab w:val="clear" w:pos="720"/>
          <w:tab w:val="left" w:pos="426" w:leader="none"/>
        </w:tabs>
        <w:spacing w:lineRule="auto" w:line="240" w:before="0" w:after="0"/>
        <w:contextualSpacing/>
        <w:jc w:val="both"/>
        <w:rPr>
          <w:rFonts w:ascii="Times New Roman" w:hAnsi="Times New Roman" w:cs="Times New Roman"/>
        </w:rPr>
      </w:pPr>
      <w:r>
        <w:rPr>
          <w:rFonts w:cs="Times New Roman" w:ascii="Times New Roman" w:hAnsi="Times New Roman"/>
          <w:sz w:val="24"/>
          <w:szCs w:val="24"/>
        </w:rPr>
        <w:t>Apliecinām, ka ziemas sezonā nodrošināsim dīzeļdegvielas aukstumnoturību līdz -32</w:t>
      </w:r>
      <w:r>
        <w:rPr>
          <w:rFonts w:cs="Times New Roman" w:ascii="Times New Roman" w:hAnsi="Times New Roman"/>
          <w:sz w:val="24"/>
          <w:szCs w:val="24"/>
          <w:vertAlign w:val="superscript"/>
        </w:rPr>
        <w:t>0</w:t>
      </w:r>
      <w:r>
        <w:rPr>
          <w:rFonts w:cs="Times New Roman" w:ascii="Times New Roman" w:hAnsi="Times New Roman"/>
          <w:sz w:val="24"/>
          <w:szCs w:val="24"/>
        </w:rPr>
        <w:t>C temperatūrai.</w:t>
      </w:r>
    </w:p>
    <w:p>
      <w:pPr>
        <w:pStyle w:val="ListParagraph"/>
        <w:numPr>
          <w:ilvl w:val="1"/>
          <w:numId w:val="9"/>
        </w:numPr>
        <w:tabs>
          <w:tab w:val="clear" w:pos="720"/>
          <w:tab w:val="left" w:pos="426" w:leader="none"/>
        </w:tabs>
        <w:spacing w:lineRule="auto" w:line="240" w:before="0" w:after="0"/>
        <w:contextualSpacing/>
        <w:jc w:val="both"/>
        <w:rPr>
          <w:rFonts w:ascii="Times New Roman" w:hAnsi="Times New Roman"/>
          <w:sz w:val="24"/>
          <w:szCs w:val="24"/>
        </w:rPr>
      </w:pPr>
      <w:r>
        <w:rPr>
          <w:rFonts w:cs="Times New Roman" w:ascii="Times New Roman" w:hAnsi="Times New Roman"/>
          <w:sz w:val="24"/>
          <w:szCs w:val="24"/>
        </w:rPr>
        <w:t>Pēc katras piegādes veikšanas, Pasūtītājam tiek iesniegta pavadzīme - rēķins, norādot piegādātās dīzeļdegvielas cenu, atlaidi, daudzumu, kopsummu.</w:t>
      </w:r>
    </w:p>
    <w:tbl>
      <w:tblPr>
        <w:tblW w:w="9287" w:type="dxa"/>
        <w:jc w:val="left"/>
        <w:tblInd w:w="0" w:type="dxa"/>
        <w:tblBorders/>
        <w:tblCellMar>
          <w:top w:w="0" w:type="dxa"/>
          <w:left w:w="108" w:type="dxa"/>
          <w:bottom w:w="0" w:type="dxa"/>
          <w:right w:w="108" w:type="dxa"/>
        </w:tblCellMar>
        <w:tblLook w:firstRow="0" w:noVBand="0" w:lastRow="0" w:firstColumn="0" w:lastColumn="0" w:noHBand="0" w:val="0000"/>
      </w:tblPr>
      <w:tblGrid>
        <w:gridCol w:w="9182"/>
        <w:gridCol w:w="104"/>
      </w:tblGrid>
      <w:tr>
        <w:trPr>
          <w:trHeight w:val="6357" w:hRule="atLeast"/>
        </w:trPr>
        <w:tc>
          <w:tcPr>
            <w:tcW w:w="9182" w:type="dxa"/>
            <w:tcBorders/>
            <w:shd w:fill="auto" w:val="clear"/>
          </w:tcPr>
          <w:p>
            <w:pPr>
              <w:pStyle w:val="Normal"/>
              <w:jc w:val="both"/>
              <w:rPr>
                <w:rFonts w:ascii="Times New Roman" w:hAnsi="Times New Roman"/>
                <w:sz w:val="24"/>
                <w:szCs w:val="24"/>
              </w:rPr>
            </w:pPr>
            <w:r>
              <w:rPr>
                <w:rFonts w:cs="Times New Roman" w:ascii="Times New Roman" w:hAnsi="Times New Roman"/>
                <w:sz w:val="24"/>
                <w:szCs w:val="24"/>
              </w:rPr>
              <w:t>2.</w:t>
            </w:r>
            <w:r>
              <w:rPr>
                <w:rFonts w:cs="Times New Roman" w:ascii="Times New Roman" w:hAnsi="Times New Roman"/>
                <w:b/>
                <w:bCs/>
                <w:sz w:val="24"/>
                <w:szCs w:val="24"/>
              </w:rPr>
              <w:t>Degvielas piegādes nosacījumi:</w:t>
            </w:r>
          </w:p>
          <w:p>
            <w:pPr>
              <w:pStyle w:val="ListParagraph"/>
              <w:numPr>
                <w:ilvl w:val="1"/>
                <w:numId w:val="11"/>
              </w:numPr>
              <w:spacing w:lineRule="auto" w:line="240" w:before="0" w:after="0"/>
              <w:contextualSpacing/>
              <w:jc w:val="both"/>
              <w:rPr>
                <w:rFonts w:ascii="Times New Roman" w:hAnsi="Times New Roman"/>
                <w:sz w:val="24"/>
                <w:szCs w:val="24"/>
              </w:rPr>
            </w:pPr>
            <w:r>
              <w:rPr>
                <w:rFonts w:cs="Times New Roman" w:ascii="Times New Roman" w:hAnsi="Times New Roman"/>
                <w:sz w:val="24"/>
                <w:szCs w:val="24"/>
              </w:rPr>
              <w:t>Degvielas piegāde tiek veikta līdz pasūtītāja objektam “Sudrabi”, Rucava, Rucavas pagasts, Rucavas novads, piegādes apjoms no 1000 līdz 3000 l (litri) vienā reizē.</w:t>
            </w:r>
          </w:p>
          <w:p>
            <w:pPr>
              <w:pStyle w:val="ListParagraph"/>
              <w:numPr>
                <w:ilvl w:val="1"/>
                <w:numId w:val="11"/>
              </w:numPr>
              <w:spacing w:lineRule="auto" w:line="240" w:before="0" w:after="0"/>
              <w:contextualSpacing/>
              <w:jc w:val="both"/>
              <w:rPr>
                <w:rFonts w:ascii="Times New Roman" w:hAnsi="Times New Roman"/>
                <w:sz w:val="24"/>
                <w:szCs w:val="24"/>
              </w:rPr>
            </w:pPr>
            <w:r>
              <w:rPr>
                <w:rFonts w:cs="Times New Roman" w:ascii="Times New Roman" w:hAnsi="Times New Roman"/>
                <w:sz w:val="24"/>
                <w:szCs w:val="24"/>
              </w:rPr>
              <w:t xml:space="preserve">Pasūtītāja pilnvarotā persona veic dīzeļdegvielas pasūtīšanu pa telefonu vai e-pastu, informējot Pretendentu par nepieciešamo dīzeļdegvielas apjomu un vienojoties ar Pretendentu par piegādes laiku. </w:t>
            </w:r>
          </w:p>
          <w:p>
            <w:pPr>
              <w:pStyle w:val="ListParagraph"/>
              <w:numPr>
                <w:ilvl w:val="1"/>
                <w:numId w:val="11"/>
              </w:numPr>
              <w:spacing w:lineRule="auto" w:line="240" w:before="0" w:after="0"/>
              <w:contextualSpacing/>
              <w:jc w:val="both"/>
              <w:rPr>
                <w:rFonts w:ascii="Times New Roman" w:hAnsi="Times New Roman"/>
                <w:sz w:val="24"/>
                <w:szCs w:val="24"/>
              </w:rPr>
            </w:pPr>
            <w:r>
              <w:rPr>
                <w:rFonts w:cs="Times New Roman" w:ascii="Times New Roman" w:hAnsi="Times New Roman"/>
                <w:sz w:val="24"/>
                <w:szCs w:val="24"/>
              </w:rPr>
              <w:t>Dīzeļdegvielas piegāde nodrošināma ne vēlāk kā 3 (trīs) darba dienu laikā no pasūtījuma veikšanas dienas.</w:t>
            </w:r>
          </w:p>
          <w:p>
            <w:pPr>
              <w:pStyle w:val="ListParagraph"/>
              <w:tabs>
                <w:tab w:val="clear" w:pos="720"/>
                <w:tab w:val="left" w:pos="284" w:leader="none"/>
                <w:tab w:val="left" w:pos="360" w:leader="none"/>
              </w:tabs>
              <w:spacing w:lineRule="auto" w:line="240" w:before="0" w:after="0"/>
              <w:ind w:left="360" w:hanging="360"/>
              <w:contextualSpacing/>
              <w:jc w:val="both"/>
              <w:rPr>
                <w:rFonts w:ascii="Times New Roman" w:hAnsi="Times New Roman"/>
                <w:sz w:val="24"/>
                <w:szCs w:val="24"/>
              </w:rPr>
            </w:pPr>
            <w:r>
              <w:rPr>
                <w:rFonts w:cs="Times New Roman" w:ascii="Times New Roman" w:hAnsi="Times New Roman"/>
                <w:b/>
                <w:bCs/>
                <w:sz w:val="24"/>
                <w:szCs w:val="24"/>
              </w:rPr>
              <w:t xml:space="preserve">3.Pasūtītāja noteiktā līgumsumma, par kādu Pasūtītājs var iegādāties dīzeļdegvielu: </w:t>
            </w:r>
          </w:p>
          <w:p>
            <w:pPr>
              <w:pStyle w:val="ListParagraph"/>
              <w:numPr>
                <w:ilvl w:val="1"/>
                <w:numId w:val="12"/>
              </w:numPr>
              <w:tabs>
                <w:tab w:val="clear" w:pos="720"/>
                <w:tab w:val="left" w:pos="360" w:leader="none"/>
              </w:tabs>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lv-LV"/>
              </w:rPr>
              <w:t xml:space="preserve">Pretendents apņemas piegādāt dīzeļdegvielu līdz Pasūtītāja noteiktās līgumsummas </w:t>
            </w:r>
            <w:r>
              <w:rPr>
                <w:rFonts w:eastAsia="Times New Roman" w:ascii="Times New Roman" w:hAnsi="Times New Roman"/>
                <w:b/>
                <w:sz w:val="24"/>
                <w:szCs w:val="24"/>
                <w:lang w:eastAsia="lv-LV"/>
              </w:rPr>
              <w:t>22000 EUR</w:t>
            </w:r>
            <w:r>
              <w:rPr>
                <w:rFonts w:eastAsia="Times New Roman" w:ascii="Times New Roman" w:hAnsi="Times New Roman"/>
                <w:sz w:val="24"/>
                <w:szCs w:val="24"/>
                <w:lang w:eastAsia="lv-LV"/>
              </w:rPr>
              <w:t xml:space="preserve"> (divdesmit divitūkstoši euro un 00 centi), bez </w:t>
            </w:r>
            <w:r>
              <w:rPr>
                <w:rFonts w:eastAsia="Times New Roman" w:ascii="Times New Roman" w:hAnsi="Times New Roman"/>
                <w:b/>
                <w:sz w:val="24"/>
                <w:szCs w:val="24"/>
                <w:lang w:eastAsia="lv-LV"/>
              </w:rPr>
              <w:t>PVN</w:t>
            </w:r>
            <w:r>
              <w:rPr>
                <w:rFonts w:eastAsia="Times New Roman" w:ascii="Times New Roman" w:hAnsi="Times New Roman"/>
                <w:sz w:val="24"/>
                <w:szCs w:val="24"/>
                <w:lang w:eastAsia="lv-LV"/>
              </w:rPr>
              <w:t>, sasniegšanai.</w:t>
            </w:r>
          </w:p>
          <w:p>
            <w:pPr>
              <w:pStyle w:val="ListParagraph"/>
              <w:numPr>
                <w:ilvl w:val="1"/>
                <w:numId w:val="12"/>
              </w:numPr>
              <w:spacing w:lineRule="auto" w:line="240" w:before="0" w:after="0"/>
              <w:contextualSpacing/>
              <w:jc w:val="both"/>
              <w:rPr>
                <w:rFonts w:ascii="Times New Roman" w:hAnsi="Times New Roman"/>
                <w:sz w:val="24"/>
                <w:szCs w:val="24"/>
              </w:rPr>
            </w:pPr>
            <w:r>
              <w:rPr>
                <w:rFonts w:cs="Times New Roman" w:ascii="Times New Roman" w:hAnsi="Times New Roman"/>
                <w:bCs/>
                <w:sz w:val="24"/>
                <w:szCs w:val="24"/>
              </w:rPr>
              <w:t>Pasūtītājs patur tiesības iepirkuma līguma izpildes gaitā iegādāties dīzeļdegvielu, nesasniedzot  noteikto līgumsummu.</w:t>
            </w:r>
          </w:p>
          <w:p>
            <w:pPr>
              <w:pStyle w:val="NoSpacing1"/>
              <w:jc w:val="both"/>
              <w:rPr>
                <w:rFonts w:ascii="Times New Roman" w:hAnsi="Times New Roman"/>
                <w:sz w:val="24"/>
                <w:szCs w:val="24"/>
              </w:rPr>
            </w:pPr>
            <w:r>
              <w:rPr>
                <w:rFonts w:ascii="Times New Roman" w:hAnsi="Times New Roman"/>
                <w:sz w:val="24"/>
                <w:szCs w:val="24"/>
              </w:rPr>
            </w:r>
          </w:p>
          <w:p>
            <w:pPr>
              <w:pStyle w:val="NoSpacing1"/>
              <w:jc w:val="both"/>
              <w:rPr>
                <w:rFonts w:ascii="Times New Roman" w:hAnsi="Times New Roman"/>
                <w:sz w:val="24"/>
                <w:szCs w:val="24"/>
              </w:rPr>
            </w:pPr>
            <w:r>
              <w:rPr>
                <w:rFonts w:ascii="Times New Roman" w:hAnsi="Times New Roman"/>
                <w:sz w:val="24"/>
                <w:szCs w:val="24"/>
              </w:rPr>
              <w:t xml:space="preserve">Ar šo uzņemamies pilnu atbildību par Tehniskajā piedāvājumā ietverto informāciju un atbilstību iepirkuma nolikuma prasībām. </w:t>
            </w:r>
          </w:p>
          <w:p>
            <w:pPr>
              <w:pStyle w:val="ListParagraph"/>
              <w:tabs>
                <w:tab w:val="clear" w:pos="720"/>
                <w:tab w:val="left" w:pos="426" w:leader="none"/>
              </w:tabs>
              <w:spacing w:lineRule="auto" w:line="240" w:before="0" w:after="0"/>
              <w:ind w:left="4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Spacing1"/>
              <w:jc w:val="both"/>
              <w:rPr>
                <w:rFonts w:ascii="Times New Roman" w:hAnsi="Times New Roman"/>
              </w:rPr>
            </w:pPr>
            <w:r>
              <mc:AlternateContent>
                <mc:Choice Requires="wps">
                  <w:drawing>
                    <wp:anchor behindDoc="0" distT="0" distB="0" distL="114300" distR="114300" simplePos="0" locked="0" layoutInCell="1" allowOverlap="1" relativeHeight="2">
                      <wp:simplePos x="0" y="0"/>
                      <wp:positionH relativeFrom="margin">
                        <wp:posOffset>-65405</wp:posOffset>
                      </wp:positionH>
                      <wp:positionV relativeFrom="paragraph">
                        <wp:posOffset>46990</wp:posOffset>
                      </wp:positionV>
                      <wp:extent cx="5695950" cy="1447800"/>
                      <wp:effectExtent l="0" t="0" r="0" b="0"/>
                      <wp:wrapSquare wrapText="bothSides"/>
                      <wp:docPr id="1" name="Ietvars1"/>
                      <a:graphic xmlns:a="http://schemas.openxmlformats.org/drawingml/2006/main">
                        <a:graphicData uri="http://schemas.microsoft.com/office/word/2010/wordprocessingShape">
                          <wps:wsp>
                            <wps:cNvSpPr/>
                            <wps:spPr>
                              <a:xfrm>
                                <a:off x="0" y="0"/>
                                <a:ext cx="5695200" cy="1447200"/>
                              </a:xfrm>
                              <a:prstGeom prst="rect">
                                <a:avLst/>
                              </a:prstGeom>
                              <a:noFill/>
                              <a:ln>
                                <a:noFill/>
                              </a:ln>
                            </wps:spPr>
                            <wps:style>
                              <a:lnRef idx="0"/>
                              <a:fillRef idx="0"/>
                              <a:effectRef idx="0"/>
                              <a:fontRef idx="minor"/>
                            </wps:style>
                            <wps:txbx>
                              <w:txbxContent>
                                <w:tbl>
                                  <w:tblPr>
                                    <w:tblW w:w="8966" w:type="dxa"/>
                                    <w:jc w:val="left"/>
                                    <w:tblInd w:w="540" w:type="dxa"/>
                                    <w:tblBorders/>
                                    <w:tblCellMar>
                                      <w:top w:w="0" w:type="dxa"/>
                                      <w:left w:w="108" w:type="dxa"/>
                                      <w:bottom w:w="0" w:type="dxa"/>
                                      <w:right w:w="108" w:type="dxa"/>
                                    </w:tblCellMar>
                                    <w:tblLook w:firstRow="0" w:noVBand="0" w:lastRow="0" w:firstColumn="0" w:lastColumn="0" w:noHBand="0" w:val="0000"/>
                                  </w:tblPr>
                                  <w:tblGrid>
                                    <w:gridCol w:w="4786"/>
                                    <w:gridCol w:w="4179"/>
                                  </w:tblGrid>
                                  <w:tr>
                                    <w:trPr/>
                                    <w:tc>
                                      <w:tcPr>
                                        <w:tcW w:w="4786" w:type="dxa"/>
                                        <w:tcBorders/>
                                        <w:shd w:fill="auto" w:val="clear"/>
                                      </w:tcPr>
                                      <w:p>
                                        <w:pPr>
                                          <w:pStyle w:val="Normal"/>
                                          <w:suppressAutoHyphens w:val="true"/>
                                          <w:snapToGrid w:val="false"/>
                                          <w:spacing w:lineRule="auto" w:line="240" w:before="120" w:after="120"/>
                                          <w:jc w:val="both"/>
                                          <w:rPr>
                                            <w:color w:val="auto"/>
                                          </w:rPr>
                                        </w:pPr>
                                        <w:r>
                                          <w:rPr>
                                            <w:rFonts w:eastAsia="Times New Roman" w:cs="Times New Roman" w:ascii="Times New Roman" w:hAnsi="Times New Roman"/>
                                            <w:color w:val="auto"/>
                                          </w:rPr>
                                          <w:t>Amatpersonas vai pilnvarotās personas paraksts:</w:t>
                                        </w:r>
                                        <w:bookmarkStart w:id="2" w:name="__UnoMark__655_2352823879"/>
                                        <w:bookmarkEnd w:id="2"/>
                                      </w:p>
                                    </w:tc>
                                    <w:tc>
                                      <w:tcPr>
                                        <w:tcW w:w="4179" w:type="dxa"/>
                                        <w:tcBorders>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right"/>
                                          <w:rPr>
                                            <w:rFonts w:ascii="Times New Roman" w:hAnsi="Times New Roman" w:eastAsia="Times New Roman" w:cs="Times New Roman"/>
                                            <w:color w:val="auto"/>
                                          </w:rPr>
                                        </w:pPr>
                                        <w:r>
                                          <w:rPr>
                                            <w:rFonts w:eastAsia="Times New Roman" w:cs="Times New Roman" w:ascii="Times New Roman" w:hAnsi="Times New Roman"/>
                                            <w:color w:val="auto"/>
                                          </w:rPr>
                                        </w:r>
                                        <w:bookmarkStart w:id="3" w:name="__UnoMark__657_2352823879"/>
                                        <w:bookmarkStart w:id="4" w:name="__UnoMark__656_2352823879"/>
                                        <w:bookmarkStart w:id="5" w:name="__UnoMark__657_2352823879"/>
                                        <w:bookmarkStart w:id="6" w:name="__UnoMark__656_2352823879"/>
                                        <w:bookmarkEnd w:id="5"/>
                                        <w:bookmarkEnd w:id="6"/>
                                      </w:p>
                                    </w:tc>
                                  </w:tr>
                                  <w:tr>
                                    <w:trPr/>
                                    <w:tc>
                                      <w:tcPr>
                                        <w:tcW w:w="4786" w:type="dxa"/>
                                        <w:tcBorders/>
                                        <w:shd w:fill="auto" w:val="clear"/>
                                      </w:tcPr>
                                      <w:p>
                                        <w:pPr>
                                          <w:pStyle w:val="Normal"/>
                                          <w:suppressAutoHyphens w:val="true"/>
                                          <w:snapToGrid w:val="false"/>
                                          <w:spacing w:lineRule="auto" w:line="240" w:before="120" w:after="120"/>
                                          <w:jc w:val="both"/>
                                          <w:rPr>
                                            <w:color w:val="auto"/>
                                          </w:rPr>
                                        </w:pPr>
                                        <w:bookmarkStart w:id="7" w:name="__UnoMark__658_2352823879"/>
                                        <w:bookmarkEnd w:id="7"/>
                                        <w:r>
                                          <w:rPr>
                                            <w:rFonts w:eastAsia="Times New Roman" w:cs="Times New Roman" w:ascii="Times New Roman" w:hAnsi="Times New Roman"/>
                                            <w:color w:val="auto"/>
                                          </w:rPr>
                                          <w:t>Parakstītāja vārds, uzvārds un amats:</w:t>
                                        </w:r>
                                        <w:bookmarkStart w:id="8" w:name="__UnoMark__659_2352823879"/>
                                        <w:bookmarkEnd w:id="8"/>
                                      </w:p>
                                    </w:tc>
                                    <w:tc>
                                      <w:tcPr>
                                        <w:tcW w:w="4179"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color w:val="auto"/>
                                          </w:rPr>
                                        </w:pPr>
                                        <w:r>
                                          <w:rPr>
                                            <w:rFonts w:eastAsia="Times New Roman" w:cs="Times New Roman" w:ascii="Times New Roman" w:hAnsi="Times New Roman"/>
                                            <w:color w:val="auto"/>
                                          </w:rPr>
                                        </w:r>
                                        <w:bookmarkStart w:id="9" w:name="__UnoMark__661_2352823879"/>
                                        <w:bookmarkStart w:id="10" w:name="__UnoMark__660_2352823879"/>
                                        <w:bookmarkStart w:id="11" w:name="__UnoMark__661_2352823879"/>
                                        <w:bookmarkStart w:id="12" w:name="__UnoMark__660_2352823879"/>
                                        <w:bookmarkEnd w:id="11"/>
                                        <w:bookmarkEnd w:id="12"/>
                                      </w:p>
                                    </w:tc>
                                  </w:tr>
                                  <w:tr>
                                    <w:trPr/>
                                    <w:tc>
                                      <w:tcPr>
                                        <w:tcW w:w="4786" w:type="dxa"/>
                                        <w:tcBorders/>
                                        <w:shd w:fill="auto" w:val="clear"/>
                                      </w:tcPr>
                                      <w:p>
                                        <w:pPr>
                                          <w:pStyle w:val="Normal"/>
                                          <w:suppressAutoHyphens w:val="true"/>
                                          <w:snapToGrid w:val="false"/>
                                          <w:spacing w:lineRule="auto" w:line="240" w:before="120" w:after="120"/>
                                          <w:jc w:val="both"/>
                                          <w:rPr>
                                            <w:color w:val="auto"/>
                                          </w:rPr>
                                        </w:pPr>
                                        <w:bookmarkStart w:id="13" w:name="__UnoMark__662_2352823879"/>
                                        <w:bookmarkEnd w:id="13"/>
                                        <w:r>
                                          <w:rPr>
                                            <w:rFonts w:eastAsia="Times New Roman" w:cs="Times New Roman" w:ascii="Times New Roman" w:hAnsi="Times New Roman"/>
                                            <w:color w:val="auto"/>
                                          </w:rPr>
                                          <w:t>Pretendenta nosaukums:</w:t>
                                        </w:r>
                                        <w:bookmarkStart w:id="14" w:name="__UnoMark__663_2352823879"/>
                                        <w:bookmarkEnd w:id="14"/>
                                      </w:p>
                                    </w:tc>
                                    <w:tc>
                                      <w:tcPr>
                                        <w:tcW w:w="4179"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color w:val="auto"/>
                                          </w:rPr>
                                        </w:pPr>
                                        <w:r>
                                          <w:rPr>
                                            <w:rFonts w:eastAsia="Times New Roman" w:cs="Times New Roman" w:ascii="Times New Roman" w:hAnsi="Times New Roman"/>
                                            <w:color w:val="auto"/>
                                          </w:rPr>
                                        </w:r>
                                        <w:bookmarkStart w:id="15" w:name="__UnoMark__665_2352823879"/>
                                        <w:bookmarkStart w:id="16" w:name="__UnoMark__664_2352823879"/>
                                        <w:bookmarkStart w:id="17" w:name="__UnoMark__665_2352823879"/>
                                        <w:bookmarkStart w:id="18" w:name="__UnoMark__664_2352823879"/>
                                        <w:bookmarkEnd w:id="17"/>
                                        <w:bookmarkEnd w:id="18"/>
                                      </w:p>
                                    </w:tc>
                                  </w:tr>
                                  <w:tr>
                                    <w:trPr/>
                                    <w:tc>
                                      <w:tcPr>
                                        <w:tcW w:w="4786" w:type="dxa"/>
                                        <w:tcBorders/>
                                        <w:shd w:fill="auto" w:val="clear"/>
                                      </w:tcPr>
                                      <w:p>
                                        <w:pPr>
                                          <w:pStyle w:val="Normal"/>
                                          <w:suppressAutoHyphens w:val="true"/>
                                          <w:snapToGrid w:val="false"/>
                                          <w:spacing w:lineRule="auto" w:line="240" w:before="120" w:after="120"/>
                                          <w:jc w:val="both"/>
                                          <w:rPr>
                                            <w:color w:val="auto"/>
                                          </w:rPr>
                                        </w:pPr>
                                        <w:bookmarkStart w:id="19" w:name="__UnoMark__666_2352823879"/>
                                        <w:bookmarkEnd w:id="19"/>
                                        <w:r>
                                          <w:rPr>
                                            <w:rFonts w:eastAsia="Times New Roman" w:cs="Times New Roman" w:ascii="Times New Roman" w:hAnsi="Times New Roman"/>
                                            <w:color w:val="auto"/>
                                          </w:rPr>
                                          <w:t>Datums</w:t>
                                        </w:r>
                                        <w:bookmarkStart w:id="20" w:name="__UnoMark__667_2352823879"/>
                                        <w:bookmarkEnd w:id="20"/>
                                      </w:p>
                                    </w:tc>
                                    <w:tc>
                                      <w:tcPr>
                                        <w:tcW w:w="4179"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color w:val="auto"/>
                                          </w:rPr>
                                        </w:pPr>
                                        <w:r>
                                          <w:rPr>
                                            <w:rFonts w:eastAsia="Times New Roman" w:cs="Times New Roman" w:ascii="Times New Roman" w:hAnsi="Times New Roman"/>
                                            <w:color w:val="auto"/>
                                          </w:rPr>
                                        </w:r>
                                        <w:bookmarkStart w:id="21" w:name="__UnoMark__668_2352823879"/>
                                        <w:bookmarkStart w:id="22" w:name="__UnoMark__668_2352823879"/>
                                        <w:bookmarkEnd w:id="22"/>
                                      </w:p>
                                    </w:tc>
                                  </w:tr>
                                </w:tbl>
                                <w:p>
                                  <w:pPr>
                                    <w:pStyle w:val="Ietvarasaturs"/>
                                    <w:spacing w:before="0" w:after="160"/>
                                    <w:rPr>
                                      <w:color w:val="000000"/>
                                    </w:rPr>
                                  </w:pPr>
                                  <w:r>
                                    <w:rPr>
                                      <w:color w:val="000000"/>
                                    </w:rPr>
                                  </w:r>
                                </w:p>
                              </w:txbxContent>
                            </wps:txbx>
                            <wps:bodyPr lIns="0" rIns="0" tIns="0" bIns="0">
                              <a:spAutoFit/>
                            </wps:bodyPr>
                          </wps:wsp>
                        </a:graphicData>
                      </a:graphic>
                    </wp:anchor>
                  </w:drawing>
                </mc:Choice>
                <mc:Fallback>
                  <w:pict>
                    <v:rect id="shape_0" ID="Ietvars1" stroked="f" style="position:absolute;margin-left:-5.15pt;margin-top:3.7pt;width:448.4pt;height:113.9pt;mso-position-horizontal-relative:margin">
                      <w10:wrap type="none"/>
                      <v:fill o:detectmouseclick="t" on="false"/>
                      <v:stroke color="#3465a4" joinstyle="round" endcap="flat"/>
                      <v:textbox>
                        <w:txbxContent>
                          <w:tbl>
                            <w:tblPr>
                              <w:tblW w:w="8966" w:type="dxa"/>
                              <w:jc w:val="left"/>
                              <w:tblInd w:w="540" w:type="dxa"/>
                              <w:tblBorders/>
                              <w:tblCellMar>
                                <w:top w:w="0" w:type="dxa"/>
                                <w:left w:w="108" w:type="dxa"/>
                                <w:bottom w:w="0" w:type="dxa"/>
                                <w:right w:w="108" w:type="dxa"/>
                              </w:tblCellMar>
                              <w:tblLook w:firstRow="0" w:noVBand="0" w:lastRow="0" w:firstColumn="0" w:lastColumn="0" w:noHBand="0" w:val="0000"/>
                            </w:tblPr>
                            <w:tblGrid>
                              <w:gridCol w:w="4786"/>
                              <w:gridCol w:w="4179"/>
                            </w:tblGrid>
                            <w:tr>
                              <w:trPr/>
                              <w:tc>
                                <w:tcPr>
                                  <w:tcW w:w="4786" w:type="dxa"/>
                                  <w:tcBorders/>
                                  <w:shd w:fill="auto" w:val="clear"/>
                                </w:tcPr>
                                <w:p>
                                  <w:pPr>
                                    <w:pStyle w:val="Normal"/>
                                    <w:suppressAutoHyphens w:val="true"/>
                                    <w:snapToGrid w:val="false"/>
                                    <w:spacing w:lineRule="auto" w:line="240" w:before="120" w:after="120"/>
                                    <w:jc w:val="both"/>
                                    <w:rPr>
                                      <w:color w:val="auto"/>
                                    </w:rPr>
                                  </w:pPr>
                                  <w:r>
                                    <w:rPr>
                                      <w:rFonts w:eastAsia="Times New Roman" w:cs="Times New Roman" w:ascii="Times New Roman" w:hAnsi="Times New Roman"/>
                                      <w:color w:val="auto"/>
                                    </w:rPr>
                                    <w:t>Amatpersonas vai pilnvarotās personas paraksts:</w:t>
                                  </w:r>
                                  <w:bookmarkStart w:id="23" w:name="__UnoMark__655_2352823879"/>
                                  <w:bookmarkEnd w:id="23"/>
                                </w:p>
                              </w:tc>
                              <w:tc>
                                <w:tcPr>
                                  <w:tcW w:w="4179" w:type="dxa"/>
                                  <w:tcBorders>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right"/>
                                    <w:rPr>
                                      <w:rFonts w:ascii="Times New Roman" w:hAnsi="Times New Roman" w:eastAsia="Times New Roman" w:cs="Times New Roman"/>
                                      <w:color w:val="auto"/>
                                    </w:rPr>
                                  </w:pPr>
                                  <w:r>
                                    <w:rPr>
                                      <w:rFonts w:eastAsia="Times New Roman" w:cs="Times New Roman" w:ascii="Times New Roman" w:hAnsi="Times New Roman"/>
                                      <w:color w:val="auto"/>
                                    </w:rPr>
                                  </w:r>
                                  <w:bookmarkStart w:id="24" w:name="__UnoMark__657_2352823879"/>
                                  <w:bookmarkStart w:id="25" w:name="__UnoMark__656_2352823879"/>
                                  <w:bookmarkStart w:id="26" w:name="__UnoMark__657_2352823879"/>
                                  <w:bookmarkStart w:id="27" w:name="__UnoMark__656_2352823879"/>
                                  <w:bookmarkEnd w:id="26"/>
                                  <w:bookmarkEnd w:id="27"/>
                                </w:p>
                              </w:tc>
                            </w:tr>
                            <w:tr>
                              <w:trPr/>
                              <w:tc>
                                <w:tcPr>
                                  <w:tcW w:w="4786" w:type="dxa"/>
                                  <w:tcBorders/>
                                  <w:shd w:fill="auto" w:val="clear"/>
                                </w:tcPr>
                                <w:p>
                                  <w:pPr>
                                    <w:pStyle w:val="Normal"/>
                                    <w:suppressAutoHyphens w:val="true"/>
                                    <w:snapToGrid w:val="false"/>
                                    <w:spacing w:lineRule="auto" w:line="240" w:before="120" w:after="120"/>
                                    <w:jc w:val="both"/>
                                    <w:rPr>
                                      <w:color w:val="auto"/>
                                    </w:rPr>
                                  </w:pPr>
                                  <w:bookmarkStart w:id="28" w:name="__UnoMark__658_2352823879"/>
                                  <w:bookmarkEnd w:id="28"/>
                                  <w:r>
                                    <w:rPr>
                                      <w:rFonts w:eastAsia="Times New Roman" w:cs="Times New Roman" w:ascii="Times New Roman" w:hAnsi="Times New Roman"/>
                                      <w:color w:val="auto"/>
                                    </w:rPr>
                                    <w:t>Parakstītāja vārds, uzvārds un amats:</w:t>
                                  </w:r>
                                  <w:bookmarkStart w:id="29" w:name="__UnoMark__659_2352823879"/>
                                  <w:bookmarkEnd w:id="29"/>
                                </w:p>
                              </w:tc>
                              <w:tc>
                                <w:tcPr>
                                  <w:tcW w:w="4179"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color w:val="auto"/>
                                    </w:rPr>
                                  </w:pPr>
                                  <w:r>
                                    <w:rPr>
                                      <w:rFonts w:eastAsia="Times New Roman" w:cs="Times New Roman" w:ascii="Times New Roman" w:hAnsi="Times New Roman"/>
                                      <w:color w:val="auto"/>
                                    </w:rPr>
                                  </w:r>
                                  <w:bookmarkStart w:id="30" w:name="__UnoMark__661_2352823879"/>
                                  <w:bookmarkStart w:id="31" w:name="__UnoMark__660_2352823879"/>
                                  <w:bookmarkStart w:id="32" w:name="__UnoMark__661_2352823879"/>
                                  <w:bookmarkStart w:id="33" w:name="__UnoMark__660_2352823879"/>
                                  <w:bookmarkEnd w:id="32"/>
                                  <w:bookmarkEnd w:id="33"/>
                                </w:p>
                              </w:tc>
                            </w:tr>
                            <w:tr>
                              <w:trPr/>
                              <w:tc>
                                <w:tcPr>
                                  <w:tcW w:w="4786" w:type="dxa"/>
                                  <w:tcBorders/>
                                  <w:shd w:fill="auto" w:val="clear"/>
                                </w:tcPr>
                                <w:p>
                                  <w:pPr>
                                    <w:pStyle w:val="Normal"/>
                                    <w:suppressAutoHyphens w:val="true"/>
                                    <w:snapToGrid w:val="false"/>
                                    <w:spacing w:lineRule="auto" w:line="240" w:before="120" w:after="120"/>
                                    <w:jc w:val="both"/>
                                    <w:rPr>
                                      <w:color w:val="auto"/>
                                    </w:rPr>
                                  </w:pPr>
                                  <w:bookmarkStart w:id="34" w:name="__UnoMark__662_2352823879"/>
                                  <w:bookmarkEnd w:id="34"/>
                                  <w:r>
                                    <w:rPr>
                                      <w:rFonts w:eastAsia="Times New Roman" w:cs="Times New Roman" w:ascii="Times New Roman" w:hAnsi="Times New Roman"/>
                                      <w:color w:val="auto"/>
                                    </w:rPr>
                                    <w:t>Pretendenta nosaukums:</w:t>
                                  </w:r>
                                  <w:bookmarkStart w:id="35" w:name="__UnoMark__663_2352823879"/>
                                  <w:bookmarkEnd w:id="35"/>
                                </w:p>
                              </w:tc>
                              <w:tc>
                                <w:tcPr>
                                  <w:tcW w:w="4179"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color w:val="auto"/>
                                    </w:rPr>
                                  </w:pPr>
                                  <w:r>
                                    <w:rPr>
                                      <w:rFonts w:eastAsia="Times New Roman" w:cs="Times New Roman" w:ascii="Times New Roman" w:hAnsi="Times New Roman"/>
                                      <w:color w:val="auto"/>
                                    </w:rPr>
                                  </w:r>
                                  <w:bookmarkStart w:id="36" w:name="__UnoMark__665_2352823879"/>
                                  <w:bookmarkStart w:id="37" w:name="__UnoMark__664_2352823879"/>
                                  <w:bookmarkStart w:id="38" w:name="__UnoMark__665_2352823879"/>
                                  <w:bookmarkStart w:id="39" w:name="__UnoMark__664_2352823879"/>
                                  <w:bookmarkEnd w:id="38"/>
                                  <w:bookmarkEnd w:id="39"/>
                                </w:p>
                              </w:tc>
                            </w:tr>
                            <w:tr>
                              <w:trPr/>
                              <w:tc>
                                <w:tcPr>
                                  <w:tcW w:w="4786" w:type="dxa"/>
                                  <w:tcBorders/>
                                  <w:shd w:fill="auto" w:val="clear"/>
                                </w:tcPr>
                                <w:p>
                                  <w:pPr>
                                    <w:pStyle w:val="Normal"/>
                                    <w:suppressAutoHyphens w:val="true"/>
                                    <w:snapToGrid w:val="false"/>
                                    <w:spacing w:lineRule="auto" w:line="240" w:before="120" w:after="120"/>
                                    <w:jc w:val="both"/>
                                    <w:rPr>
                                      <w:color w:val="auto"/>
                                    </w:rPr>
                                  </w:pPr>
                                  <w:bookmarkStart w:id="40" w:name="__UnoMark__666_2352823879"/>
                                  <w:bookmarkEnd w:id="40"/>
                                  <w:r>
                                    <w:rPr>
                                      <w:rFonts w:eastAsia="Times New Roman" w:cs="Times New Roman" w:ascii="Times New Roman" w:hAnsi="Times New Roman"/>
                                      <w:color w:val="auto"/>
                                    </w:rPr>
                                    <w:t>Datums</w:t>
                                  </w:r>
                                  <w:bookmarkStart w:id="41" w:name="__UnoMark__667_2352823879"/>
                                  <w:bookmarkEnd w:id="41"/>
                                </w:p>
                              </w:tc>
                              <w:tc>
                                <w:tcPr>
                                  <w:tcW w:w="4179" w:type="dxa"/>
                                  <w:tcBorders>
                                    <w:top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120" w:after="120"/>
                                    <w:ind w:left="1560" w:hanging="0"/>
                                    <w:jc w:val="both"/>
                                    <w:rPr>
                                      <w:rFonts w:ascii="Times New Roman" w:hAnsi="Times New Roman" w:eastAsia="Times New Roman" w:cs="Times New Roman"/>
                                      <w:color w:val="auto"/>
                                    </w:rPr>
                                  </w:pPr>
                                  <w:r>
                                    <w:rPr>
                                      <w:rFonts w:eastAsia="Times New Roman" w:cs="Times New Roman" w:ascii="Times New Roman" w:hAnsi="Times New Roman"/>
                                      <w:color w:val="auto"/>
                                    </w:rPr>
                                  </w:r>
                                  <w:bookmarkStart w:id="42" w:name="__UnoMark__668_2352823879"/>
                                  <w:bookmarkStart w:id="43" w:name="__UnoMark__668_2352823879"/>
                                  <w:bookmarkEnd w:id="43"/>
                                </w:p>
                              </w:tc>
                            </w:tr>
                          </w:tbl>
                          <w:p>
                            <w:pPr>
                              <w:pStyle w:val="Ietvarasaturs"/>
                              <w:spacing w:before="0" w:after="160"/>
                              <w:rPr>
                                <w:color w:val="000000"/>
                              </w:rPr>
                            </w:pPr>
                            <w:r>
                              <w:rPr>
                                <w:color w:val="000000"/>
                              </w:rPr>
                            </w:r>
                          </w:p>
                        </w:txbxContent>
                      </v:textbox>
                    </v:rect>
                  </w:pict>
                </mc:Fallback>
              </mc:AlternateContent>
            </w:r>
            <w:r>
              <w:rPr>
                <w:rFonts w:ascii="Times New Roman" w:hAnsi="Times New Roman"/>
              </w:rPr>
              <w:t xml:space="preserve"> </w:t>
            </w:r>
          </w:p>
          <w:p>
            <w:pPr>
              <w:pStyle w:val="NoSpacing1"/>
              <w:jc w:val="both"/>
              <w:rPr>
                <w:rFonts w:ascii="Times New Roman" w:hAnsi="Times New Roman"/>
              </w:rPr>
            </w:pPr>
            <w:r>
              <w:rPr>
                <w:rFonts w:ascii="Times New Roman" w:hAnsi="Times New Roman"/>
              </w:rPr>
            </w:r>
          </w:p>
        </w:tc>
        <w:tc>
          <w:tcPr>
            <w:tcW w:w="104" w:type="dxa"/>
            <w:tcBorders/>
            <w:shd w:fill="auto" w:val="clear"/>
          </w:tcPr>
          <w:p>
            <w:pPr>
              <w:pStyle w:val="Normal"/>
              <w:widowControl/>
              <w:bidi w:val="0"/>
              <w:spacing w:lineRule="auto" w:line="259" w:before="0" w:after="160"/>
              <w:jc w:val="left"/>
              <w:rPr>
                <w:rFonts w:ascii="Times New Roman" w:hAnsi="Times New Roman"/>
              </w:rPr>
            </w:pPr>
            <w:r>
              <w:rPr>
                <w:rFonts w:ascii="Times New Roman" w:hAnsi="Times New Roman"/>
              </w:rPr>
            </w:r>
          </w:p>
        </w:tc>
      </w:tr>
    </w:tbl>
    <w:p>
      <w:pPr>
        <w:pStyle w:val="Normal"/>
        <w:ind w:right="-335" w:hanging="0"/>
        <w:jc w:val="center"/>
        <w:rPr/>
      </w:pPr>
      <w:r>
        <w:rPr>
          <w:rFonts w:cs="Times New Roman" w:ascii="Times New Roman" w:hAnsi="Times New Roman"/>
        </w:rPr>
        <w:t xml:space="preserve">                       </w:t>
      </w:r>
      <w:r>
        <w:rPr>
          <w:rFonts w:cs="Times New Roman" w:ascii="Times New Roman" w:hAnsi="Times New Roman"/>
        </w:rPr>
        <w:tab/>
        <w:t xml:space="preserve">            </w:t>
      </w:r>
    </w:p>
    <w:p>
      <w:pPr>
        <w:pStyle w:val="Normal"/>
        <w:numPr>
          <w:ilvl w:val="0"/>
          <w:numId w:val="0"/>
        </w:numPr>
        <w:suppressAutoHyphens w:val="true"/>
        <w:spacing w:before="0" w:after="0"/>
        <w:jc w:val="right"/>
        <w:outlineLvl w:val="3"/>
        <w:rPr/>
      </w:pPr>
      <w:r>
        <w:rPr>
          <w:rFonts w:eastAsia="Times New Roman" w:cs="Times New Roman" w:ascii="Times New Roman" w:hAnsi="Times New Roman"/>
          <w:b w:val="false"/>
          <w:bCs w:val="false"/>
          <w:sz w:val="22"/>
          <w:szCs w:val="22"/>
          <w:lang w:eastAsia="ar-SA"/>
        </w:rPr>
        <w:t xml:space="preserve">4.pielikums </w:t>
      </w:r>
    </w:p>
    <w:p>
      <w:pPr>
        <w:pStyle w:val="Normal"/>
        <w:keepNext w:val="true"/>
        <w:numPr>
          <w:ilvl w:val="0"/>
          <w:numId w:val="0"/>
        </w:numPr>
        <w:suppressAutoHyphens w:val="true"/>
        <w:spacing w:before="0" w:after="0"/>
        <w:jc w:val="right"/>
        <w:outlineLvl w:val="3"/>
        <w:rPr>
          <w:b w:val="false"/>
          <w:b w:val="false"/>
          <w:bCs w:val="false"/>
          <w:sz w:val="22"/>
          <w:szCs w:val="22"/>
        </w:rPr>
      </w:pPr>
      <w:r>
        <w:rPr>
          <w:rFonts w:eastAsia="Times New Roman" w:cs="Times New Roman" w:ascii="Times New Roman" w:hAnsi="Times New Roman"/>
          <w:b w:val="false"/>
          <w:bCs w:val="false"/>
          <w:sz w:val="22"/>
          <w:szCs w:val="22"/>
          <w:lang w:eastAsia="ar-SA"/>
        </w:rPr>
        <w:t xml:space="preserve">Iepirkuma “Transporta dīzeļdegvielas vairumtirdzniecība un piegāde </w:t>
      </w:r>
    </w:p>
    <w:p>
      <w:pPr>
        <w:pStyle w:val="Normal"/>
        <w:numPr>
          <w:ilvl w:val="0"/>
          <w:numId w:val="0"/>
        </w:numPr>
        <w:suppressAutoHyphens w:val="true"/>
        <w:spacing w:lineRule="auto" w:line="240" w:before="0" w:after="0"/>
        <w:ind w:right="-335" w:hanging="0"/>
        <w:jc w:val="right"/>
        <w:outlineLvl w:val="3"/>
        <w:rPr>
          <w:rFonts w:ascii="Times New Roman" w:hAnsi="Times New Roman" w:cs="Times New Roman"/>
          <w:b w:val="false"/>
          <w:b w:val="false"/>
          <w:bCs w:val="false"/>
          <w:sz w:val="22"/>
          <w:szCs w:val="22"/>
        </w:rPr>
      </w:pPr>
      <w:r>
        <w:rPr>
          <w:rFonts w:eastAsia="Times New Roman" w:cs="Times New Roman" w:ascii="Times New Roman" w:hAnsi="Times New Roman"/>
          <w:b w:val="false"/>
          <w:bCs w:val="false"/>
          <w:sz w:val="22"/>
          <w:szCs w:val="22"/>
          <w:lang w:eastAsia="ar-SA"/>
        </w:rPr>
        <w:t>Rucavas novada pašvaldības vajadzībām”, identifikācijas numurs RND 2019/6, nolikumam</w:t>
      </w:r>
    </w:p>
    <w:p>
      <w:pPr>
        <w:pStyle w:val="Normal"/>
        <w:ind w:right="-335" w:hanging="0"/>
        <w:jc w:val="center"/>
        <w:rPr>
          <w:rFonts w:ascii="Times New Roman" w:hAnsi="Times New Roman" w:eastAsia="Times New Roman" w:cs="Times New Roman"/>
          <w:b/>
          <w:b/>
          <w:sz w:val="21"/>
          <w:szCs w:val="21"/>
          <w:u w:val="single"/>
          <w:lang w:eastAsia="ar-SA"/>
        </w:rPr>
      </w:pPr>
      <w:r>
        <w:rPr>
          <w:rFonts w:eastAsia="Times New Roman" w:cs="Times New Roman" w:ascii="Times New Roman" w:hAnsi="Times New Roman"/>
          <w:b/>
          <w:sz w:val="21"/>
          <w:szCs w:val="21"/>
          <w:u w:val="single"/>
          <w:lang w:eastAsia="ar-SA"/>
        </w:rPr>
      </w:r>
    </w:p>
    <w:p>
      <w:pPr>
        <w:pStyle w:val="Normal"/>
        <w:suppressAutoHyphens w:val="true"/>
        <w:spacing w:lineRule="auto" w:line="240" w:before="0" w:after="0"/>
        <w:jc w:val="center"/>
        <w:rPr>
          <w:rFonts w:ascii="Times New Roman" w:hAnsi="Times New Roman" w:eastAsia="Times New Roman" w:cs="Times New Roman"/>
          <w:b/>
          <w:b/>
          <w:sz w:val="21"/>
          <w:szCs w:val="21"/>
          <w:u w:val="single"/>
          <w:lang w:eastAsia="ar-SA"/>
        </w:rPr>
      </w:pPr>
      <w:r>
        <w:rPr>
          <w:rFonts w:eastAsia="Times New Roman" w:cs="Times New Roman" w:ascii="Times New Roman" w:hAnsi="Times New Roman"/>
          <w:b/>
          <w:sz w:val="24"/>
          <w:szCs w:val="24"/>
          <w:u w:val="single"/>
          <w:lang w:eastAsia="ar-SA"/>
        </w:rPr>
        <w:t>INFORMĀCIJA PAR LĪGUMA IZPILDI</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Spacing"/>
        <w:ind w:right="-427" w:hanging="0"/>
        <w:jc w:val="both"/>
        <w:rPr>
          <w:sz w:val="22"/>
          <w:szCs w:val="22"/>
        </w:rPr>
      </w:pPr>
      <w:r>
        <w:rPr>
          <w:sz w:val="24"/>
          <w:szCs w:val="24"/>
        </w:rPr>
        <w:t>Ar šo apliecinām, ka pretendenta rīcībā ir visi nepieciešamie resursi savlaicīgai un kvalitatīvai līguma izpildei un līguma izpildi paredzēts organizēt, atbilstoši turpmāk norādītajai informācijai:</w:t>
      </w:r>
    </w:p>
    <w:p>
      <w:pPr>
        <w:pStyle w:val="NoSpacing"/>
        <w:rPr>
          <w:sz w:val="24"/>
          <w:szCs w:val="24"/>
        </w:rPr>
      </w:pPr>
      <w:r>
        <w:rPr>
          <w:sz w:val="24"/>
          <w:szCs w:val="24"/>
        </w:rPr>
      </w:r>
    </w:p>
    <w:p>
      <w:pPr>
        <w:pStyle w:val="NoSpacing"/>
        <w:rPr>
          <w:sz w:val="22"/>
          <w:szCs w:val="22"/>
        </w:rPr>
      </w:pPr>
      <w:r>
        <w:rPr>
          <w:b/>
          <w:color w:val="0070C0"/>
          <w:sz w:val="24"/>
          <w:szCs w:val="24"/>
        </w:rPr>
        <w:t>ĢENERĀLUZŅĒMĒJS</w:t>
      </w:r>
    </w:p>
    <w:tbl>
      <w:tblPr>
        <w:tblW w:w="946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963"/>
        <w:gridCol w:w="1859"/>
        <w:gridCol w:w="1887"/>
        <w:gridCol w:w="3759"/>
      </w:tblGrid>
      <w:tr>
        <w:trPr/>
        <w:tc>
          <w:tcPr>
            <w:tcW w:w="1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b/>
                <w:b/>
                <w:i/>
                <w:i/>
                <w:sz w:val="22"/>
                <w:szCs w:val="22"/>
              </w:rPr>
            </w:pPr>
            <w:r>
              <w:rPr>
                <w:b/>
                <w:i/>
                <w:sz w:val="24"/>
                <w:szCs w:val="24"/>
              </w:rPr>
              <w:t>Ģenerāluzņēmēja nosaukums, reģistrācijas numurs</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b/>
                <w:b/>
                <w:i/>
                <w:i/>
                <w:sz w:val="22"/>
                <w:szCs w:val="22"/>
              </w:rPr>
            </w:pPr>
            <w:r>
              <w:rPr>
                <w:b/>
                <w:i/>
                <w:sz w:val="24"/>
                <w:szCs w:val="24"/>
              </w:rPr>
              <w:t>Veicamo darbu apjoms %</w:t>
            </w:r>
          </w:p>
        </w:tc>
        <w:tc>
          <w:tcPr>
            <w:tcW w:w="1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b/>
                <w:b/>
                <w:i/>
                <w:i/>
                <w:sz w:val="22"/>
                <w:szCs w:val="22"/>
              </w:rPr>
            </w:pPr>
            <w:r>
              <w:rPr>
                <w:b/>
                <w:i/>
                <w:sz w:val="24"/>
                <w:szCs w:val="24"/>
              </w:rPr>
              <w:t>Veicamo darbu apjoms EUR bez PVN</w:t>
            </w:r>
          </w:p>
        </w:tc>
        <w:tc>
          <w:tcPr>
            <w:tcW w:w="3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b/>
                <w:b/>
                <w:i/>
                <w:i/>
                <w:sz w:val="22"/>
                <w:szCs w:val="22"/>
              </w:rPr>
            </w:pPr>
            <w:r>
              <w:rPr>
                <w:b/>
                <w:i/>
                <w:sz w:val="24"/>
                <w:szCs w:val="24"/>
              </w:rPr>
              <w:t>Veicamo darbu raksturojums</w:t>
            </w:r>
          </w:p>
        </w:tc>
      </w:tr>
      <w:tr>
        <w:trPr/>
        <w:tc>
          <w:tcPr>
            <w:tcW w:w="1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24"/>
                <w:szCs w:val="24"/>
              </w:rPr>
            </w:pPr>
            <w:r>
              <w:rPr>
                <w:sz w:val="24"/>
                <w:szCs w:val="24"/>
              </w:rPr>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24"/>
                <w:szCs w:val="24"/>
              </w:rPr>
            </w:pPr>
            <w:r>
              <w:rPr>
                <w:sz w:val="24"/>
                <w:szCs w:val="24"/>
              </w:rPr>
            </w:r>
          </w:p>
        </w:tc>
        <w:tc>
          <w:tcPr>
            <w:tcW w:w="18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24"/>
                <w:szCs w:val="24"/>
              </w:rPr>
            </w:pPr>
            <w:r>
              <w:rPr>
                <w:sz w:val="24"/>
                <w:szCs w:val="24"/>
              </w:rPr>
            </w:r>
          </w:p>
        </w:tc>
        <w:tc>
          <w:tcPr>
            <w:tcW w:w="3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24"/>
                <w:szCs w:val="24"/>
              </w:rPr>
            </w:pPr>
            <w:r>
              <w:rPr>
                <w:sz w:val="24"/>
                <w:szCs w:val="24"/>
              </w:rPr>
            </w:r>
          </w:p>
        </w:tc>
      </w:tr>
    </w:tbl>
    <w:p>
      <w:pPr>
        <w:pStyle w:val="NoSpacing"/>
        <w:rPr>
          <w:sz w:val="24"/>
          <w:szCs w:val="24"/>
        </w:rPr>
      </w:pPr>
      <w:r>
        <w:rPr>
          <w:sz w:val="24"/>
          <w:szCs w:val="24"/>
        </w:rPr>
      </w:r>
    </w:p>
    <w:p>
      <w:pPr>
        <w:pStyle w:val="NoSpacing"/>
        <w:ind w:right="-427" w:hanging="0"/>
        <w:jc w:val="both"/>
        <w:rPr>
          <w:b/>
          <w:b/>
          <w:color w:val="0070C0"/>
          <w:sz w:val="22"/>
          <w:szCs w:val="22"/>
        </w:rPr>
      </w:pPr>
      <w:r>
        <w:rPr>
          <w:b/>
          <w:color w:val="0070C0"/>
          <w:sz w:val="24"/>
          <w:szCs w:val="24"/>
        </w:rPr>
        <w:t xml:space="preserve">APAKŠUZŅĒMĒJI (norāda </w:t>
      </w:r>
      <w:r>
        <w:rPr>
          <w:b/>
          <w:color w:val="0070C0"/>
          <w:sz w:val="24"/>
          <w:szCs w:val="24"/>
          <w:u w:val="single"/>
        </w:rPr>
        <w:t>visus</w:t>
      </w:r>
      <w:r>
        <w:rPr>
          <w:b/>
          <w:color w:val="0070C0"/>
          <w:sz w:val="24"/>
          <w:szCs w:val="24"/>
        </w:rPr>
        <w:t xml:space="preserve"> apakšuzņēmējus, kurus plānots piesaistīt līguma izpildē un kuriem nododamā darba daļa ir vismaz 10% no kopējā apjoma)</w:t>
      </w:r>
      <w:r>
        <w:rPr>
          <w:rStyle w:val="Vresenkurs"/>
          <w:rStyle w:val="Vresenkurs"/>
          <w:b/>
          <w:color w:val="0070C0"/>
          <w:sz w:val="24"/>
          <w:szCs w:val="24"/>
        </w:rPr>
        <w:footnoteReference w:id="3"/>
      </w:r>
    </w:p>
    <w:tbl>
      <w:tblPr>
        <w:tblpPr w:bottomFromText="0" w:horzAnchor="page" w:leftFromText="180" w:rightFromText="180" w:tblpX="1714" w:tblpY="159" w:topFromText="0" w:vertAnchor="text"/>
        <w:tblW w:w="9498" w:type="dxa"/>
        <w:jc w:val="left"/>
        <w:tblInd w:w="0" w:type="dxa"/>
        <w:tblBorders>
          <w:right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072"/>
        <w:gridCol w:w="425"/>
      </w:tblGrid>
      <w:tr>
        <w:trPr/>
        <w:tc>
          <w:tcPr>
            <w:tcW w:w="9072" w:type="dxa"/>
            <w:tcBorders>
              <w:right w:val="single" w:sz="4" w:space="0" w:color="000000"/>
              <w:insideV w:val="single" w:sz="4" w:space="0" w:color="000000"/>
            </w:tcBorders>
            <w:shd w:fill="auto" w:val="clear"/>
          </w:tcPr>
          <w:p>
            <w:pPr>
              <w:pStyle w:val="NoSpacing"/>
              <w:ind w:left="-108" w:hanging="0"/>
              <w:rPr>
                <w:sz w:val="22"/>
                <w:szCs w:val="22"/>
              </w:rPr>
            </w:pPr>
            <w:r>
              <w:rPr>
                <w:sz w:val="24"/>
                <w:szCs w:val="24"/>
              </w:rPr>
              <w:t xml:space="preserve">Apakšuzņēmējus līguma izpildē piesaistīt </w:t>
            </w:r>
            <w:r>
              <w:rPr>
                <w:sz w:val="24"/>
                <w:szCs w:val="24"/>
                <w:u w:val="single"/>
              </w:rPr>
              <w:t>nav paredzēts</w:t>
            </w:r>
          </w:p>
        </w:tc>
        <w:tc>
          <w:tcPr>
            <w:tcW w:w="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24"/>
                <w:szCs w:val="24"/>
              </w:rPr>
            </w:pPr>
            <w:r>
              <w:rPr>
                <w:sz w:val="24"/>
                <w:szCs w:val="24"/>
              </w:rPr>
            </w:r>
          </w:p>
        </w:tc>
      </w:tr>
    </w:tbl>
    <w:p>
      <w:pPr>
        <w:pStyle w:val="NoSpacing"/>
        <w:rPr>
          <w:i/>
          <w:i/>
          <w:sz w:val="22"/>
          <w:szCs w:val="22"/>
        </w:rPr>
      </w:pPr>
      <w:r>
        <w:rPr>
          <w:i/>
          <w:sz w:val="24"/>
          <w:szCs w:val="24"/>
        </w:rPr>
        <w:t xml:space="preserve">(ja apakšuzņēmējus līguma izpildē piesaistīt nav paredzēts, izdara attiecīgu atzīmi un tabulu par apakšuzņēmējiem nododamo darbu apjomu nav nepieciešams aizpildīt) </w:t>
      </w:r>
    </w:p>
    <w:p>
      <w:pPr>
        <w:pStyle w:val="NoSpacing"/>
        <w:rPr>
          <w:sz w:val="24"/>
          <w:szCs w:val="24"/>
        </w:rPr>
      </w:pPr>
      <w:r>
        <w:rPr>
          <w:sz w:val="24"/>
          <w:szCs w:val="24"/>
        </w:rPr>
      </w:r>
    </w:p>
    <w:tbl>
      <w:tblPr>
        <w:tblW w:w="9356" w:type="dxa"/>
        <w:jc w:val="left"/>
        <w:tblInd w:w="109" w:type="dxa"/>
        <w:tblBorders>
          <w:right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8934"/>
        <w:gridCol w:w="421"/>
      </w:tblGrid>
      <w:tr>
        <w:trPr/>
        <w:tc>
          <w:tcPr>
            <w:tcW w:w="8934" w:type="dxa"/>
            <w:tcBorders>
              <w:right w:val="single" w:sz="4" w:space="0" w:color="000000"/>
              <w:insideV w:val="single" w:sz="4" w:space="0" w:color="000000"/>
            </w:tcBorders>
            <w:shd w:fill="auto" w:val="clear"/>
          </w:tcPr>
          <w:p>
            <w:pPr>
              <w:pStyle w:val="NoSpacing"/>
              <w:ind w:left="-74" w:hanging="0"/>
              <w:rPr>
                <w:sz w:val="22"/>
                <w:szCs w:val="22"/>
              </w:rPr>
            </w:pPr>
            <w:r>
              <w:rPr>
                <w:sz w:val="24"/>
                <w:szCs w:val="24"/>
              </w:rPr>
              <w:t xml:space="preserve">Apakšuzņēmējus līguma izpildē </w:t>
            </w:r>
            <w:r>
              <w:rPr>
                <w:sz w:val="24"/>
                <w:szCs w:val="24"/>
                <w:u w:val="single"/>
              </w:rPr>
              <w:t>ir paredzēts</w:t>
            </w:r>
            <w:r>
              <w:rPr>
                <w:sz w:val="24"/>
                <w:szCs w:val="24"/>
              </w:rPr>
              <w:t xml:space="preserve"> piesaistīt</w:t>
            </w:r>
          </w:p>
        </w:tc>
        <w:tc>
          <w:tcPr>
            <w:tcW w:w="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sz w:val="24"/>
                <w:szCs w:val="24"/>
              </w:rPr>
            </w:pPr>
            <w:r>
              <w:rPr>
                <w:sz w:val="24"/>
                <w:szCs w:val="24"/>
              </w:rPr>
            </w:r>
          </w:p>
        </w:tc>
      </w:tr>
    </w:tbl>
    <w:p>
      <w:pPr>
        <w:pStyle w:val="NoSpacing"/>
        <w:rPr>
          <w:i/>
          <w:i/>
          <w:sz w:val="22"/>
          <w:szCs w:val="22"/>
        </w:rPr>
      </w:pPr>
      <w:r>
        <w:rPr>
          <w:i/>
          <w:sz w:val="24"/>
          <w:szCs w:val="24"/>
        </w:rPr>
        <w:t xml:space="preserve"> </w:t>
      </w:r>
      <w:r>
        <w:rPr>
          <w:i/>
          <w:sz w:val="24"/>
          <w:szCs w:val="24"/>
        </w:rPr>
        <w:t>(tabulā norāda apakšuzņēmējiem nododamo darbu apjomu un veidus)</w:t>
      </w:r>
    </w:p>
    <w:p>
      <w:pPr>
        <w:pStyle w:val="NoSpacing"/>
        <w:rPr>
          <w:sz w:val="24"/>
          <w:szCs w:val="24"/>
        </w:rPr>
      </w:pPr>
      <w:r>
        <w:rPr>
          <w:sz w:val="24"/>
          <w:szCs w:val="24"/>
        </w:rPr>
      </w:r>
    </w:p>
    <w:tbl>
      <w:tblPr>
        <w:tblW w:w="9385" w:type="dxa"/>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864"/>
        <w:gridCol w:w="1843"/>
        <w:gridCol w:w="1418"/>
        <w:gridCol w:w="1559"/>
        <w:gridCol w:w="1701"/>
      </w:tblGrid>
      <w:tr>
        <w:trPr/>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b/>
                <w:b/>
                <w:i/>
                <w:i/>
                <w:lang w:eastAsia="ar-SA"/>
              </w:rPr>
            </w:pPr>
            <w:r>
              <w:rPr>
                <w:rFonts w:eastAsia="Times New Roman" w:cs="Times New Roman" w:ascii="Times New Roman" w:hAnsi="Times New Roman"/>
                <w:b/>
                <w:i/>
                <w:sz w:val="24"/>
                <w:szCs w:val="24"/>
                <w:lang w:eastAsia="ar-SA"/>
              </w:rPr>
              <w:t>Apakšuzņēmēja nosaukums, reģistrācijas numurs</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b/>
                <w:b/>
                <w:i/>
                <w:i/>
                <w:lang w:eastAsia="ar-SA"/>
              </w:rPr>
            </w:pPr>
            <w:r>
              <w:rPr>
                <w:rFonts w:eastAsia="Times New Roman" w:cs="Times New Roman" w:ascii="Times New Roman" w:hAnsi="Times New Roman"/>
                <w:b/>
                <w:i/>
                <w:sz w:val="24"/>
                <w:szCs w:val="24"/>
                <w:lang w:eastAsia="ar-SA"/>
              </w:rPr>
              <w:t xml:space="preserve">Vai uzņēmums atbilst mazā vai vidējā uzņēmuma statusam </w:t>
            </w:r>
            <w:r>
              <w:rPr>
                <w:rStyle w:val="Vresenkurs"/>
                <w:rStyle w:val="Vresenkurs"/>
                <w:rFonts w:eastAsia="Times New Roman" w:cs="Times New Roman" w:ascii="Times New Roman" w:hAnsi="Times New Roman"/>
                <w:b/>
                <w:i/>
                <w:sz w:val="24"/>
                <w:szCs w:val="24"/>
                <w:lang w:eastAsia="ar-SA"/>
              </w:rPr>
              <w:footnoteReference w:id="4"/>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b/>
                <w:b/>
                <w:i/>
                <w:i/>
                <w:lang w:eastAsia="ar-SA"/>
              </w:rPr>
            </w:pPr>
            <w:r>
              <w:rPr>
                <w:rFonts w:eastAsia="Times New Roman" w:cs="Times New Roman" w:ascii="Times New Roman" w:hAnsi="Times New Roman"/>
                <w:b/>
                <w:i/>
                <w:sz w:val="24"/>
                <w:szCs w:val="24"/>
                <w:lang w:eastAsia="ar-SA"/>
              </w:rPr>
              <w:t>Veicamo darbu apjoms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b/>
                <w:b/>
                <w:i/>
                <w:i/>
                <w:lang w:eastAsia="ar-SA"/>
              </w:rPr>
            </w:pPr>
            <w:r>
              <w:rPr>
                <w:rFonts w:eastAsia="Times New Roman" w:cs="Times New Roman" w:ascii="Times New Roman" w:hAnsi="Times New Roman"/>
                <w:b/>
                <w:i/>
                <w:sz w:val="24"/>
                <w:szCs w:val="24"/>
                <w:lang w:eastAsia="ar-SA"/>
              </w:rPr>
              <w:t>Veicamo darbu apjoms EUR bez PVN</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b/>
                <w:b/>
                <w:i/>
                <w:i/>
                <w:lang w:eastAsia="ar-SA"/>
              </w:rPr>
            </w:pPr>
            <w:r>
              <w:rPr>
                <w:rFonts w:eastAsia="Times New Roman" w:cs="Times New Roman" w:ascii="Times New Roman" w:hAnsi="Times New Roman"/>
                <w:b/>
                <w:i/>
                <w:sz w:val="24"/>
                <w:szCs w:val="24"/>
                <w:lang w:eastAsia="ar-SA"/>
              </w:rPr>
              <w:t>Veicamo darbu raksturojums</w:t>
            </w:r>
          </w:p>
        </w:tc>
      </w:tr>
      <w:tr>
        <w:trPr/>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bl>
    <w:p>
      <w:pPr>
        <w:pStyle w:val="NoSpacing"/>
        <w:ind w:right="-427" w:hanging="0"/>
        <w:jc w:val="both"/>
        <w:rPr>
          <w:sz w:val="22"/>
          <w:szCs w:val="22"/>
        </w:rPr>
      </w:pPr>
      <w:r>
        <w:rPr>
          <w:sz w:val="24"/>
          <w:szCs w:val="24"/>
        </w:rPr>
        <w:t>Piedāvājumam pievieno vienošanos ar katru apakšuzņēmēju par konkrētu darbu izpildi vai apakšuzņēmēja apliecinājumu par dalību līguma izpildē, ja līgums tiktu piešķirts pretendentam.</w:t>
      </w:r>
    </w:p>
    <w:p>
      <w:pPr>
        <w:pStyle w:val="NoSpacing"/>
        <w:ind w:right="-568" w:hanging="0"/>
        <w:jc w:val="both"/>
        <w:rPr/>
      </w:pPr>
      <w:r>
        <w:rPr>
          <w:rFonts w:eastAsia="Arial"/>
          <w:sz w:val="20"/>
          <w:szCs w:val="20"/>
        </w:rPr>
        <w:t xml:space="preserve"> </w:t>
      </w:r>
    </w:p>
    <w:p>
      <w:pPr>
        <w:pStyle w:val="NoSpacing"/>
        <w:ind w:right="-568" w:hanging="0"/>
        <w:jc w:val="both"/>
        <w:rPr>
          <w:rFonts w:eastAsia="Arial"/>
          <w:sz w:val="20"/>
          <w:szCs w:val="20"/>
        </w:rPr>
      </w:pPr>
      <w:r>
        <w:rPr>
          <w:rFonts w:eastAsia="Arial"/>
          <w:sz w:val="20"/>
          <w:szCs w:val="20"/>
        </w:rPr>
        <w:t xml:space="preserve"> </w:t>
      </w:r>
    </w:p>
    <w:p>
      <w:pPr>
        <w:pStyle w:val="Normal"/>
        <w:suppressAutoHyphens w:val="true"/>
        <w:spacing w:lineRule="auto" w:line="240" w:before="0" w:after="0"/>
        <w:ind w:right="-427" w:hanging="0"/>
        <w:jc w:val="both"/>
        <w:rPr>
          <w:rFonts w:ascii="Times New Roman" w:hAnsi="Times New Roman" w:eastAsia="Times New Roman" w:cs="Times New Roman"/>
          <w:i/>
          <w:i/>
          <w:lang w:eastAsia="ar-SA"/>
        </w:rPr>
      </w:pPr>
      <w:r>
        <w:rPr>
          <w:rFonts w:eastAsia="Times New Roman" w:cs="Times New Roman" w:ascii="Times New Roman" w:hAnsi="Times New Roman"/>
          <w:i/>
          <w:lang w:eastAsia="ar-SA"/>
        </w:rPr>
        <w:t xml:space="preserve"> </w:t>
      </w:r>
    </w:p>
    <w:p>
      <w:pPr>
        <w:pStyle w:val="Normal"/>
        <w:suppressAutoHyphens w:val="true"/>
        <w:spacing w:lineRule="auto" w:line="240" w:before="0" w:after="0"/>
        <w:ind w:right="-427" w:hanging="0"/>
        <w:jc w:val="both"/>
        <w:rPr>
          <w:rFonts w:ascii="Times New Roman" w:hAnsi="Times New Roman" w:eastAsia="Times New Roman" w:cs="Times New Roman"/>
          <w:i/>
          <w:i/>
          <w:lang w:eastAsia="ar-SA"/>
        </w:rPr>
      </w:pPr>
      <w:r>
        <w:rPr>
          <w:rFonts w:eastAsia="Times New Roman" w:cs="Times New Roman" w:ascii="Times New Roman" w:hAnsi="Times New Roman"/>
          <w:i/>
          <w:lang w:eastAsia="ar-SA"/>
        </w:rPr>
      </w:r>
    </w:p>
    <w:p>
      <w:pPr>
        <w:pStyle w:val="Normal"/>
        <w:suppressAutoHyphens w:val="true"/>
        <w:spacing w:lineRule="auto" w:line="240" w:before="0" w:after="0"/>
        <w:ind w:left="426" w:right="-30" w:hanging="0"/>
        <w:jc w:val="both"/>
        <w:rPr>
          <w:rFonts w:ascii="Times New Roman" w:hAnsi="Times New Roman" w:eastAsia="Times New Roman" w:cs="Times New Roman"/>
          <w:sz w:val="4"/>
          <w:szCs w:val="4"/>
          <w:lang w:eastAsia="ar-SA"/>
        </w:rPr>
      </w:pPr>
      <w:r>
        <w:rPr>
          <w:rFonts w:eastAsia="Times New Roman" w:cs="Times New Roman" w:ascii="Times New Roman" w:hAnsi="Times New Roman"/>
          <w:sz w:val="4"/>
          <w:szCs w:val="4"/>
          <w:lang w:eastAsia="ar-SA"/>
        </w:rPr>
      </w:r>
    </w:p>
    <w:tbl>
      <w:tblPr>
        <w:tblW w:w="9606" w:type="dxa"/>
        <w:jc w:val="left"/>
        <w:tblInd w:w="0" w:type="dxa"/>
        <w:tblBorders/>
        <w:tblCellMar>
          <w:top w:w="0" w:type="dxa"/>
          <w:left w:w="108" w:type="dxa"/>
          <w:bottom w:w="0" w:type="dxa"/>
          <w:right w:w="108" w:type="dxa"/>
        </w:tblCellMar>
        <w:tblLook w:firstRow="0" w:noVBand="0" w:lastRow="0" w:firstColumn="0" w:lastColumn="0" w:noHBand="0" w:val="0000"/>
      </w:tblPr>
      <w:tblGrid>
        <w:gridCol w:w="5211"/>
        <w:gridCol w:w="4394"/>
      </w:tblGrid>
      <w:tr>
        <w:trPr/>
        <w:tc>
          <w:tcPr>
            <w:tcW w:w="5211" w:type="dxa"/>
            <w:tcBorders/>
            <w:shd w:fill="auto" w:val="clear"/>
            <w:vAlign w:val="center"/>
          </w:tcPr>
          <w:p>
            <w:pPr>
              <w:pStyle w:val="Normal"/>
              <w:suppressAutoHyphens w:val="true"/>
              <w:spacing w:lineRule="auto" w:line="240" w:before="0" w:after="0"/>
              <w:ind w:left="-108" w:hanging="0"/>
              <w:rPr>
                <w:rFonts w:ascii="Times New Roman" w:hAnsi="Times New Roman" w:eastAsia="Arial" w:cs="Times New Roman"/>
                <w:lang w:eastAsia="ar-SA"/>
              </w:rPr>
            </w:pPr>
            <w:r>
              <w:rPr>
                <w:rFonts w:eastAsia="Arial" w:cs="Times New Roman" w:ascii="Times New Roman" w:hAnsi="Times New Roman"/>
                <w:lang w:eastAsia="ar-SA"/>
              </w:rPr>
              <w:t>Amatpersonas vai pilnvarotās personas paraksts:</w:t>
            </w:r>
          </w:p>
        </w:tc>
        <w:tc>
          <w:tcPr>
            <w:tcW w:w="4394" w:type="dxa"/>
            <w:tcBorders>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5211" w:type="dxa"/>
            <w:tcBorders/>
            <w:shd w:fill="auto" w:val="clear"/>
            <w:vAlign w:val="center"/>
          </w:tcPr>
          <w:p>
            <w:pPr>
              <w:pStyle w:val="Normal"/>
              <w:suppressAutoHyphens w:val="true"/>
              <w:spacing w:lineRule="auto" w:line="240" w:before="0" w:after="0"/>
              <w:ind w:left="-108" w:hanging="0"/>
              <w:rPr>
                <w:rFonts w:ascii="Times New Roman" w:hAnsi="Times New Roman" w:eastAsia="Arial" w:cs="Times New Roman"/>
                <w:lang w:eastAsia="ar-SA"/>
              </w:rPr>
            </w:pPr>
            <w:r>
              <w:rPr>
                <w:rFonts w:eastAsia="Arial" w:cs="Times New Roman" w:ascii="Times New Roman" w:hAnsi="Times New Roman"/>
                <w:lang w:eastAsia="ar-SA"/>
              </w:rPr>
              <w:t>Parakstītāja vārds, uzvārds un amats:</w:t>
            </w:r>
          </w:p>
        </w:tc>
        <w:tc>
          <w:tcPr>
            <w:tcW w:w="4394"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5211" w:type="dxa"/>
            <w:tcBorders/>
            <w:shd w:fill="auto" w:val="clear"/>
            <w:vAlign w:val="center"/>
          </w:tcPr>
          <w:p>
            <w:pPr>
              <w:pStyle w:val="Normal"/>
              <w:suppressAutoHyphens w:val="true"/>
              <w:spacing w:lineRule="auto" w:line="240" w:before="0" w:after="0"/>
              <w:ind w:left="-108" w:hanging="0"/>
              <w:rPr>
                <w:rFonts w:ascii="Times New Roman" w:hAnsi="Times New Roman" w:eastAsia="Arial" w:cs="Times New Roman"/>
                <w:lang w:eastAsia="ar-SA"/>
              </w:rPr>
            </w:pPr>
            <w:r>
              <w:rPr>
                <w:rFonts w:eastAsia="Arial" w:cs="Times New Roman" w:ascii="Times New Roman" w:hAnsi="Times New Roman"/>
                <w:lang w:eastAsia="ar-SA"/>
              </w:rPr>
              <w:t>Pretendenta nosaukums:</w:t>
            </w:r>
          </w:p>
        </w:tc>
        <w:tc>
          <w:tcPr>
            <w:tcW w:w="4394"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5211" w:type="dxa"/>
            <w:tcBorders/>
            <w:shd w:fill="auto" w:val="clear"/>
            <w:vAlign w:val="center"/>
          </w:tcPr>
          <w:p>
            <w:pPr>
              <w:pStyle w:val="Normal"/>
              <w:suppressAutoHyphens w:val="true"/>
              <w:spacing w:lineRule="auto" w:line="240" w:before="0" w:after="0"/>
              <w:ind w:left="-108" w:hanging="0"/>
              <w:rPr>
                <w:rFonts w:ascii="Times New Roman" w:hAnsi="Times New Roman" w:eastAsia="Arial" w:cs="Times New Roman"/>
                <w:lang w:eastAsia="ar-SA"/>
              </w:rPr>
            </w:pPr>
            <w:r>
              <w:rPr>
                <w:rFonts w:eastAsia="Arial" w:cs="Times New Roman" w:ascii="Times New Roman" w:hAnsi="Times New Roman"/>
                <w:lang w:eastAsia="ar-SA"/>
              </w:rPr>
              <w:t>Datums</w:t>
            </w:r>
          </w:p>
        </w:tc>
        <w:tc>
          <w:tcPr>
            <w:tcW w:w="4394" w:type="dxa"/>
            <w:tcBorders>
              <w:top w:val="single" w:sz="4" w:space="0" w:color="000000"/>
              <w:bottom w:val="single" w:sz="4" w:space="0" w:color="000000"/>
              <w:insideH w:val="single" w:sz="4" w:space="0" w:color="000000"/>
            </w:tcBorders>
            <w:shd w:fill="auto"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r>
    </w:tbl>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rmal"/>
        <w:numPr>
          <w:ilvl w:val="0"/>
          <w:numId w:val="0"/>
        </w:numPr>
        <w:suppressAutoHyphens w:val="true"/>
        <w:spacing w:before="0" w:after="0"/>
        <w:jc w:val="right"/>
        <w:outlineLvl w:val="3"/>
        <w:rPr/>
      </w:pPr>
      <w:r>
        <w:rPr>
          <w:rFonts w:eastAsia="Times New Roman" w:cs="Times New Roman" w:ascii="Times New Roman" w:hAnsi="Times New Roman"/>
          <w:b w:val="false"/>
          <w:bCs w:val="false"/>
          <w:sz w:val="22"/>
          <w:szCs w:val="22"/>
          <w:lang w:eastAsia="ar-SA"/>
        </w:rPr>
        <w:t xml:space="preserve">5.pielikums </w:t>
      </w:r>
    </w:p>
    <w:p>
      <w:pPr>
        <w:pStyle w:val="Normal"/>
        <w:keepNext w:val="true"/>
        <w:numPr>
          <w:ilvl w:val="0"/>
          <w:numId w:val="0"/>
        </w:numPr>
        <w:suppressAutoHyphens w:val="true"/>
        <w:spacing w:before="0" w:after="0"/>
        <w:jc w:val="right"/>
        <w:outlineLvl w:val="3"/>
        <w:rPr>
          <w:b w:val="false"/>
          <w:b w:val="false"/>
          <w:bCs w:val="false"/>
          <w:sz w:val="22"/>
          <w:szCs w:val="22"/>
        </w:rPr>
      </w:pPr>
      <w:r>
        <w:rPr>
          <w:rFonts w:eastAsia="Times New Roman" w:cs="Times New Roman" w:ascii="Times New Roman" w:hAnsi="Times New Roman"/>
          <w:b w:val="false"/>
          <w:bCs w:val="false"/>
          <w:sz w:val="22"/>
          <w:szCs w:val="22"/>
          <w:lang w:eastAsia="ar-SA"/>
        </w:rPr>
        <w:t xml:space="preserve">Iepirkuma “Transporta dīzeļdegvielas vairumtirdzniecība un piegāde  </w:t>
      </w:r>
    </w:p>
    <w:p>
      <w:pPr>
        <w:pStyle w:val="Normal"/>
        <w:numPr>
          <w:ilvl w:val="0"/>
          <w:numId w:val="0"/>
        </w:numPr>
        <w:suppressAutoHyphens w:val="true"/>
        <w:spacing w:lineRule="auto" w:line="240" w:before="0" w:after="0"/>
        <w:ind w:right="-335" w:hanging="0"/>
        <w:jc w:val="right"/>
        <w:outlineLvl w:val="3"/>
        <w:rPr>
          <w:rFonts w:ascii="Times New Roman" w:hAnsi="Times New Roman" w:cs="Times New Roman"/>
          <w:b w:val="false"/>
          <w:b w:val="false"/>
          <w:bCs w:val="false"/>
          <w:sz w:val="22"/>
          <w:szCs w:val="22"/>
        </w:rPr>
      </w:pPr>
      <w:r>
        <w:rPr>
          <w:rFonts w:eastAsia="Times New Roman" w:cs="Times New Roman" w:ascii="Times New Roman" w:hAnsi="Times New Roman"/>
          <w:b w:val="false"/>
          <w:bCs w:val="false"/>
          <w:sz w:val="22"/>
          <w:szCs w:val="22"/>
          <w:lang w:eastAsia="ar-SA"/>
        </w:rPr>
        <w:t>Rucavas novada pašvaldības vajadzībām”, identifikācijas numurs RND 2019/6, nolikumam</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PRASĪBAS PIEDĀVĀJUMU NOFORMĒŠANAI</w:t>
      </w:r>
    </w:p>
    <w:p>
      <w:pPr>
        <w:pStyle w:val="Pamatteksts"/>
        <w:tabs>
          <w:tab w:val="clear" w:pos="720"/>
          <w:tab w:val="left" w:pos="567" w:leader="none"/>
          <w:tab w:val="left" w:pos="851" w:leader="none"/>
        </w:tabs>
        <w:rPr>
          <w:sz w:val="22"/>
          <w:szCs w:val="22"/>
        </w:rPr>
      </w:pPr>
      <w:r>
        <w:rPr>
          <w:sz w:val="22"/>
          <w:szCs w:val="22"/>
        </w:rPr>
      </w:r>
    </w:p>
    <w:tbl>
      <w:tblPr>
        <w:tblStyle w:val="TableGrid"/>
        <w:tblW w:w="9351" w:type="dxa"/>
        <w:jc w:val="left"/>
        <w:tblInd w:w="0" w:type="dxa"/>
        <w:tblCellMar>
          <w:top w:w="0" w:type="dxa"/>
          <w:left w:w="108" w:type="dxa"/>
          <w:bottom w:w="0" w:type="dxa"/>
          <w:right w:w="108" w:type="dxa"/>
        </w:tblCellMar>
        <w:tblLook w:firstRow="1" w:noVBand="1" w:lastRow="0" w:firstColumn="1" w:lastColumn="0" w:noHBand="0" w:val="04a0"/>
      </w:tblPr>
      <w:tblGrid>
        <w:gridCol w:w="9351"/>
      </w:tblGrid>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0" w:leader="none"/>
                <w:tab w:val="left" w:pos="709" w:leader="none"/>
                <w:tab w:val="left" w:pos="3600" w:leader="none"/>
                <w:tab w:val="left" w:pos="4500" w:leader="none"/>
                <w:tab w:val="left" w:pos="4680" w:leader="none"/>
              </w:tabs>
              <w:spacing w:lineRule="atLeast" w:line="100" w:before="0" w:after="0"/>
              <w:jc w:val="both"/>
              <w:rPr>
                <w:sz w:val="22"/>
                <w:szCs w:val="22"/>
              </w:rPr>
            </w:pPr>
            <w:r>
              <w:rPr>
                <w:sz w:val="22"/>
                <w:szCs w:val="22"/>
              </w:rPr>
              <w:t xml:space="preserve">Pretendentam piedāvājums jāiesniedz </w:t>
            </w:r>
            <w:r>
              <w:rPr>
                <w:sz w:val="22"/>
                <w:szCs w:val="22"/>
                <w:u w:val="single"/>
              </w:rPr>
              <w:t>1 (</w:t>
            </w:r>
            <w:r>
              <w:rPr>
                <w:i/>
                <w:sz w:val="22"/>
                <w:szCs w:val="22"/>
                <w:u w:val="single"/>
              </w:rPr>
              <w:t>vienā</w:t>
            </w:r>
            <w:r>
              <w:rPr>
                <w:sz w:val="22"/>
                <w:szCs w:val="22"/>
                <w:u w:val="single"/>
              </w:rPr>
              <w:t>) oriģinālā drukātā eksemplārā</w:t>
            </w:r>
            <w:r>
              <w:rPr>
                <w:sz w:val="22"/>
                <w:szCs w:val="22"/>
              </w:rPr>
              <w:t>.</w:t>
            </w:r>
          </w:p>
          <w:p>
            <w:pPr>
              <w:pStyle w:val="Pamatteksts"/>
              <w:tabs>
                <w:tab w:val="clear" w:pos="720"/>
                <w:tab w:val="left" w:pos="746" w:leader="none"/>
              </w:tabs>
              <w:spacing w:before="0" w:after="0"/>
              <w:ind w:left="746" w:hanging="0"/>
              <w:jc w:val="both"/>
              <w:rPr>
                <w:sz w:val="22"/>
                <w:szCs w:val="22"/>
              </w:rPr>
            </w:pPr>
            <w:r>
              <w:rPr>
                <w:sz w:val="22"/>
                <w:szCs w:val="22"/>
              </w:rPr>
            </w:r>
          </w:p>
        </w:tc>
      </w:tr>
      <w:tr>
        <w:trPr>
          <w:trHeight w:val="537" w:hRule="atLeast"/>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746" w:leader="none"/>
              </w:tabs>
              <w:spacing w:lineRule="auto" w:line="240" w:before="0" w:after="0"/>
              <w:jc w:val="both"/>
              <w:rPr>
                <w:sz w:val="22"/>
                <w:szCs w:val="22"/>
              </w:rPr>
            </w:pPr>
            <w:r>
              <w:rPr>
                <w:sz w:val="22"/>
                <w:szCs w:val="22"/>
              </w:rPr>
              <w:t>Piedāvājumā jāiekļauj nolikuma 3.sadaļā noteiktie dokumenti.</w:t>
            </w:r>
          </w:p>
          <w:p>
            <w:pPr>
              <w:pStyle w:val="Pamatteksts"/>
              <w:tabs>
                <w:tab w:val="clear" w:pos="720"/>
                <w:tab w:val="left" w:pos="746" w:leader="none"/>
              </w:tabs>
              <w:spacing w:lineRule="auto" w:line="240" w:before="0" w:after="0"/>
              <w:ind w:left="746" w:hanging="386"/>
              <w:jc w:val="both"/>
              <w:rPr>
                <w:sz w:val="22"/>
                <w:szCs w:val="22"/>
              </w:rPr>
            </w:pPr>
            <w:r>
              <w:rPr>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746" w:leader="none"/>
              </w:tabs>
              <w:spacing w:lineRule="auto" w:line="240" w:before="0" w:after="0"/>
              <w:ind w:left="746" w:hanging="386"/>
              <w:jc w:val="both"/>
              <w:rPr>
                <w:sz w:val="22"/>
                <w:szCs w:val="22"/>
              </w:rPr>
            </w:pPr>
            <w:r>
              <w:rPr>
                <w:sz w:val="22"/>
                <w:szCs w:val="22"/>
              </w:rPr>
              <w:t>Visai iesniedzamajai dokumentācijai jābūt cauršūtai (caurauklotai ar diegu, lai nebūtu brīvi nomaināmas lapas) un šuvuma vietā jābūt pretendenta paraksttiesīgās vai pilnvarotās personas parakstam, norādītam cauršūto lapu skaitam.</w:t>
            </w:r>
          </w:p>
          <w:p>
            <w:pPr>
              <w:pStyle w:val="Pamatteksts"/>
              <w:tabs>
                <w:tab w:val="clear" w:pos="720"/>
                <w:tab w:val="left" w:pos="746" w:leader="none"/>
              </w:tabs>
              <w:spacing w:lineRule="auto" w:line="240" w:before="0" w:after="0"/>
              <w:ind w:left="746" w:hanging="386"/>
              <w:jc w:val="both"/>
              <w:rPr>
                <w:sz w:val="22"/>
                <w:szCs w:val="22"/>
              </w:rPr>
            </w:pPr>
            <w:r>
              <w:rPr>
                <w:sz w:val="22"/>
                <w:szCs w:val="22"/>
              </w:rPr>
            </w:r>
          </w:p>
        </w:tc>
      </w:tr>
      <w:tr>
        <w:trPr/>
        <w:tc>
          <w:tcPr>
            <w:tcW w:w="9351" w:type="dxa"/>
            <w:tcBorders>
              <w:top w:val="nil"/>
              <w:left w:val="nil"/>
              <w:right w:val="nil"/>
              <w:insideV w:val="nil"/>
            </w:tcBorders>
            <w:shd w:fill="auto" w:val="clear"/>
          </w:tcPr>
          <w:p>
            <w:pPr>
              <w:pStyle w:val="Pamatteksts"/>
              <w:numPr>
                <w:ilvl w:val="0"/>
                <w:numId w:val="6"/>
              </w:numPr>
              <w:tabs>
                <w:tab w:val="clear" w:pos="720"/>
                <w:tab w:val="left" w:pos="746" w:leader="none"/>
              </w:tabs>
              <w:spacing w:lineRule="auto" w:line="240" w:before="0" w:after="0"/>
              <w:ind w:left="746" w:hanging="386"/>
              <w:jc w:val="both"/>
              <w:rPr>
                <w:sz w:val="22"/>
                <w:szCs w:val="22"/>
              </w:rPr>
            </w:pPr>
            <w:r>
              <w:rPr>
                <w:sz w:val="22"/>
                <w:szCs w:val="22"/>
              </w:rPr>
              <w:t>Pretendentam piedāvājums jāiesaiņo slēgtā aploksnē, kas adresēta:</w:t>
            </w:r>
          </w:p>
        </w:tc>
      </w:tr>
      <w:tr>
        <w:trPr/>
        <w:tc>
          <w:tcPr>
            <w:tcW w:w="9351" w:type="dxa"/>
            <w:tcBorders/>
            <w:shd w:fill="auto" w:val="clear"/>
          </w:tcPr>
          <w:p>
            <w:pPr>
              <w:pStyle w:val="Normal"/>
              <w:tabs>
                <w:tab w:val="clear" w:pos="720"/>
                <w:tab w:val="left" w:pos="1701" w:leader="none"/>
                <w:tab w:val="left" w:pos="3600" w:leader="none"/>
                <w:tab w:val="left" w:pos="4500" w:leader="none"/>
                <w:tab w:val="left" w:pos="4680" w:leader="none"/>
              </w:tabs>
              <w:spacing w:before="120" w:after="160"/>
              <w:ind w:left="360" w:hanging="0"/>
              <w:jc w:val="center"/>
              <w:rPr>
                <w:rFonts w:ascii="Times New Roman" w:hAnsi="Times New Roman" w:cs="Times New Roman"/>
                <w:i/>
                <w:i/>
                <w:u w:val="single"/>
              </w:rPr>
            </w:pPr>
            <w:r>
              <w:rPr>
                <w:rFonts w:cs="Times New Roman" w:ascii="Times New Roman" w:hAnsi="Times New Roman"/>
                <w:i/>
                <w:kern w:val="2"/>
              </w:rPr>
              <w:t xml:space="preserve"> </w:t>
            </w:r>
            <w:r>
              <w:rPr>
                <w:rFonts w:cs="Times New Roman" w:ascii="Times New Roman" w:hAnsi="Times New Roman"/>
                <w:i/>
                <w:u w:val="single"/>
              </w:rPr>
              <w:t>Saņēmējs:</w:t>
            </w:r>
          </w:p>
          <w:p>
            <w:pPr>
              <w:pStyle w:val="Normal"/>
              <w:tabs>
                <w:tab w:val="clear" w:pos="720"/>
                <w:tab w:val="left" w:pos="1701" w:leader="none"/>
                <w:tab w:val="left" w:pos="3600" w:leader="none"/>
                <w:tab w:val="left" w:pos="4500" w:leader="none"/>
                <w:tab w:val="left" w:pos="4680" w:leader="none"/>
              </w:tabs>
              <w:spacing w:before="120" w:after="160"/>
              <w:ind w:left="360" w:hanging="0"/>
              <w:jc w:val="center"/>
              <w:rPr>
                <w:rFonts w:ascii="Times New Roman" w:hAnsi="Times New Roman" w:cs="Times New Roman"/>
              </w:rPr>
            </w:pPr>
            <w:r>
              <w:rPr>
                <w:rFonts w:cs="Times New Roman" w:ascii="Times New Roman" w:hAnsi="Times New Roman"/>
              </w:rPr>
              <w:t xml:space="preserve">Rucavas novada domes </w:t>
            </w:r>
            <w:r>
              <w:rPr>
                <w:rFonts w:cs="Times New Roman" w:ascii="Times New Roman" w:hAnsi="Times New Roman"/>
                <w:iCs/>
              </w:rPr>
              <w:t>Iepirkumu komisijai</w:t>
            </w:r>
          </w:p>
          <w:p>
            <w:pPr>
              <w:pStyle w:val="Normal"/>
              <w:tabs>
                <w:tab w:val="clear" w:pos="720"/>
                <w:tab w:val="left" w:pos="1701" w:leader="none"/>
                <w:tab w:val="left" w:pos="3600" w:leader="none"/>
                <w:tab w:val="left" w:pos="4500" w:leader="none"/>
                <w:tab w:val="left" w:pos="4680" w:leader="none"/>
              </w:tabs>
              <w:spacing w:before="120" w:after="160"/>
              <w:ind w:left="360" w:hanging="0"/>
              <w:jc w:val="center"/>
              <w:rPr>
                <w:rFonts w:ascii="Times New Roman" w:hAnsi="Times New Roman" w:cs="Times New Roman"/>
                <w:iCs/>
              </w:rPr>
            </w:pPr>
            <w:r>
              <w:rPr>
                <w:rFonts w:cs="Times New Roman" w:ascii="Times New Roman" w:hAnsi="Times New Roman"/>
                <w:iCs/>
              </w:rPr>
              <w:t>"Pagastmāja", Rucava, Rucavas pag., Rucavas nov., LV-3477</w:t>
            </w:r>
          </w:p>
          <w:p>
            <w:pPr>
              <w:pStyle w:val="Normal"/>
              <w:spacing w:before="0" w:after="0"/>
              <w:ind w:left="142" w:hanging="0"/>
              <w:jc w:val="center"/>
              <w:rPr/>
            </w:pPr>
            <w:r>
              <w:rPr>
                <w:rFonts w:cs="Times New Roman" w:ascii="Times New Roman" w:hAnsi="Times New Roman"/>
                <w:b/>
              </w:rPr>
              <w:t>Piedāvājums iepirkumam</w:t>
            </w:r>
            <w:r>
              <w:rPr>
                <w:rFonts w:cs="Times New Roman" w:ascii="Times New Roman" w:hAnsi="Times New Roman"/>
                <w:b/>
                <w:i/>
              </w:rPr>
              <w:t xml:space="preserve"> </w:t>
            </w:r>
            <w:r>
              <w:rPr>
                <w:rFonts w:cs="Times New Roman" w:ascii="Times New Roman" w:hAnsi="Times New Roman"/>
                <w:b/>
              </w:rPr>
              <w:t xml:space="preserve">"Transporta dīzeļdegvielas vairumtirdzniecība un piegāde </w:t>
            </w:r>
          </w:p>
          <w:p>
            <w:pPr>
              <w:pStyle w:val="Normal"/>
              <w:spacing w:before="0" w:after="0"/>
              <w:ind w:left="142" w:hanging="0"/>
              <w:jc w:val="center"/>
              <w:rPr>
                <w:rFonts w:ascii="Times New Roman" w:hAnsi="Times New Roman" w:cs="Times New Roman"/>
                <w:b/>
                <w:b/>
              </w:rPr>
            </w:pPr>
            <w:r>
              <w:rPr>
                <w:rFonts w:cs="Times New Roman" w:ascii="Times New Roman" w:hAnsi="Times New Roman"/>
                <w:b/>
              </w:rPr>
              <w:t>Rucavas novada pašvaldības vajadzībām",</w:t>
            </w:r>
          </w:p>
          <w:p>
            <w:pPr>
              <w:pStyle w:val="Normal"/>
              <w:spacing w:before="0" w:after="0"/>
              <w:ind w:left="142" w:hanging="0"/>
              <w:jc w:val="center"/>
              <w:rPr/>
            </w:pPr>
            <w:r>
              <w:rPr>
                <w:rFonts w:cs="Times New Roman" w:ascii="Times New Roman" w:hAnsi="Times New Roman"/>
                <w:b/>
              </w:rPr>
              <w:t xml:space="preserve"> </w:t>
            </w:r>
            <w:r>
              <w:rPr>
                <w:rFonts w:cs="Times New Roman" w:ascii="Times New Roman" w:hAnsi="Times New Roman"/>
                <w:b/>
                <w:bCs/>
              </w:rPr>
              <w:t xml:space="preserve">(identifikācijas numurs RND 2019/06) </w:t>
            </w:r>
          </w:p>
          <w:p>
            <w:pPr>
              <w:pStyle w:val="Normal"/>
              <w:tabs>
                <w:tab w:val="clear" w:pos="720"/>
                <w:tab w:val="left" w:pos="1701" w:leader="none"/>
                <w:tab w:val="left" w:pos="3600" w:leader="none"/>
                <w:tab w:val="left" w:pos="4500" w:leader="none"/>
                <w:tab w:val="left" w:pos="4680" w:leader="none"/>
              </w:tabs>
              <w:spacing w:before="120" w:after="160"/>
              <w:ind w:left="360" w:hanging="0"/>
              <w:jc w:val="center"/>
              <w:rPr>
                <w:rFonts w:ascii="Times New Roman" w:hAnsi="Times New Roman" w:cs="Times New Roman"/>
                <w:bCs/>
                <w:iCs/>
              </w:rPr>
            </w:pPr>
            <w:r>
              <w:rPr>
                <w:rFonts w:cs="Times New Roman" w:ascii="Times New Roman" w:hAnsi="Times New Roman"/>
                <w:bCs/>
                <w:iCs/>
              </w:rPr>
              <w:t>Neatvērt pirms piedāvājumu atvēršanas sanāksmes sākuma!</w:t>
            </w:r>
          </w:p>
          <w:p>
            <w:pPr>
              <w:pStyle w:val="Normal"/>
              <w:tabs>
                <w:tab w:val="clear" w:pos="720"/>
                <w:tab w:val="left" w:pos="10908" w:leader="none"/>
                <w:tab w:val="left" w:pos="11520" w:leader="none"/>
              </w:tabs>
              <w:spacing w:before="120" w:after="160"/>
              <w:ind w:left="360" w:hanging="0"/>
              <w:jc w:val="center"/>
              <w:rPr/>
            </w:pPr>
            <w:r>
              <w:rPr>
                <w:rFonts w:eastAsia="Calibri" w:cs="Times New Roman" w:ascii="Times New Roman" w:hAnsi="Times New Roman"/>
                <w:i/>
                <w:u w:val="single"/>
              </w:rPr>
              <w:t>Iesniedzējs:</w:t>
            </w:r>
          </w:p>
          <w:p>
            <w:pPr>
              <w:pStyle w:val="Normal"/>
              <w:tabs>
                <w:tab w:val="clear" w:pos="720"/>
                <w:tab w:val="left" w:pos="709" w:leader="none"/>
                <w:tab w:val="left" w:pos="10908" w:leader="none"/>
                <w:tab w:val="left" w:pos="11520" w:leader="none"/>
              </w:tabs>
              <w:spacing w:lineRule="atLeast" w:line="100" w:before="0" w:after="0"/>
              <w:ind w:left="360" w:hanging="0"/>
              <w:jc w:val="center"/>
              <w:rPr>
                <w:rFonts w:ascii="Times New Roman" w:hAnsi="Times New Roman" w:cs="Times New Roman"/>
                <w:b/>
                <w:b/>
                <w:bCs/>
                <w:i/>
                <w:i/>
                <w:kern w:val="2"/>
              </w:rPr>
            </w:pPr>
            <w:r>
              <w:rPr>
                <w:rFonts w:cs="Times New Roman" w:ascii="Times New Roman" w:hAnsi="Times New Roman"/>
                <w:b/>
                <w:bCs/>
                <w:i/>
                <w:kern w:val="2"/>
              </w:rPr>
              <w:t>&lt;Pretendenta nosaukums, reģistrācijas numurs, adrese&gt;</w:t>
            </w:r>
          </w:p>
          <w:p>
            <w:pPr>
              <w:pStyle w:val="Normal"/>
              <w:tabs>
                <w:tab w:val="clear" w:pos="720"/>
                <w:tab w:val="left" w:pos="709" w:leader="none"/>
                <w:tab w:val="left" w:pos="10908" w:leader="none"/>
                <w:tab w:val="left" w:pos="11520" w:leader="none"/>
              </w:tabs>
              <w:spacing w:lineRule="atLeast" w:line="100" w:before="0" w:after="0"/>
              <w:ind w:left="360" w:hanging="0"/>
              <w:jc w:val="both"/>
              <w:rPr>
                <w:rFonts w:ascii="Times New Roman" w:hAnsi="Times New Roman" w:cs="Times New Roman"/>
                <w:i/>
                <w:i/>
                <w:kern w:val="2"/>
              </w:rPr>
            </w:pPr>
            <w:r>
              <w:rPr>
                <w:rFonts w:cs="Times New Roman" w:ascii="Times New Roman" w:hAnsi="Times New Roman"/>
                <w:b/>
                <w:bCs/>
                <w:i/>
                <w:kern w:val="2"/>
              </w:rPr>
              <w:t>&lt;Kontaktpersonas vārds, uzvārds, tālruņa numurs&gt;</w:t>
            </w:r>
          </w:p>
          <w:p>
            <w:pPr>
              <w:pStyle w:val="Pamatteksts"/>
              <w:tabs>
                <w:tab w:val="clear" w:pos="720"/>
                <w:tab w:val="left" w:pos="567" w:leader="none"/>
                <w:tab w:val="left" w:pos="851" w:leader="none"/>
              </w:tabs>
              <w:spacing w:before="0" w:after="0"/>
              <w:ind w:left="360" w:hanging="0"/>
              <w:jc w:val="left"/>
              <w:rPr>
                <w:sz w:val="22"/>
                <w:szCs w:val="22"/>
              </w:rPr>
            </w:pPr>
            <w:r>
              <w:rPr>
                <w:i/>
                <w:kern w:val="2"/>
                <w:sz w:val="22"/>
                <w:szCs w:val="22"/>
              </w:rPr>
              <w:t xml:space="preserve"> </w:t>
            </w:r>
          </w:p>
        </w:tc>
      </w:tr>
      <w:tr>
        <w:trPr/>
        <w:tc>
          <w:tcPr>
            <w:tcW w:w="9351" w:type="dxa"/>
            <w:tcBorders>
              <w:top w:val="nil"/>
              <w:left w:val="nil"/>
              <w:bottom w:val="nil"/>
              <w:right w:val="nil"/>
              <w:insideH w:val="nil"/>
              <w:insideV w:val="nil"/>
            </w:tcBorders>
            <w:shd w:fill="auto" w:val="clear"/>
          </w:tcPr>
          <w:p>
            <w:pPr>
              <w:pStyle w:val="Pamatteksts"/>
              <w:tabs>
                <w:tab w:val="clear" w:pos="720"/>
                <w:tab w:val="left" w:pos="567" w:leader="none"/>
                <w:tab w:val="left" w:pos="851" w:leader="none"/>
              </w:tabs>
              <w:spacing w:lineRule="auto" w:line="240" w:before="0" w:after="0"/>
              <w:ind w:left="720" w:hanging="0"/>
              <w:jc w:val="both"/>
              <w:rPr>
                <w:sz w:val="22"/>
                <w:szCs w:val="22"/>
              </w:rPr>
            </w:pPr>
            <w:r>
              <w:rPr>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746" w:leader="none"/>
              </w:tabs>
              <w:spacing w:lineRule="auto" w:line="240" w:before="0" w:after="0"/>
              <w:jc w:val="both"/>
              <w:rPr>
                <w:rFonts w:eastAsia="Arial"/>
                <w:sz w:val="22"/>
                <w:szCs w:val="22"/>
              </w:rPr>
            </w:pPr>
            <w:r>
              <w:rPr>
                <w:rFonts w:eastAsia="Arial"/>
                <w:sz w:val="22"/>
                <w:szCs w:val="22"/>
              </w:rPr>
              <w:t xml:space="preserve">Pretendents drīkst iesniegt </w:t>
            </w:r>
            <w:r>
              <w:rPr>
                <w:rFonts w:eastAsia="Arial"/>
                <w:b/>
                <w:sz w:val="22"/>
                <w:szCs w:val="22"/>
              </w:rPr>
              <w:t>tikai vienu piedāvājuma variantu</w:t>
            </w:r>
            <w:r>
              <w:rPr>
                <w:rFonts w:eastAsia="Arial"/>
                <w:sz w:val="22"/>
                <w:szCs w:val="22"/>
              </w:rPr>
              <w:t>. Ja pretendents iesniegs vairākus piedāvājuma variantus, tie visi tiks atzīti par nederīgiem.</w:t>
            </w:r>
          </w:p>
          <w:p>
            <w:pPr>
              <w:pStyle w:val="Pamatteksts"/>
              <w:tabs>
                <w:tab w:val="clear" w:pos="720"/>
                <w:tab w:val="left" w:pos="746" w:leader="none"/>
              </w:tabs>
              <w:spacing w:lineRule="auto" w:line="240" w:before="0" w:after="0"/>
              <w:ind w:hanging="360"/>
              <w:jc w:val="both"/>
              <w:rPr>
                <w:rFonts w:eastAsia="Arial"/>
                <w:sz w:val="22"/>
                <w:szCs w:val="22"/>
              </w:rPr>
            </w:pPr>
            <w:r>
              <w:rPr>
                <w:rFonts w:eastAsia="Arial"/>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746" w:leader="none"/>
              </w:tabs>
              <w:spacing w:lineRule="auto" w:line="240" w:before="0" w:after="0"/>
              <w:jc w:val="both"/>
              <w:rPr>
                <w:sz w:val="22"/>
                <w:szCs w:val="22"/>
              </w:rPr>
            </w:pPr>
            <w:r>
              <w:rPr>
                <w:sz w:val="22"/>
                <w:szCs w:val="22"/>
              </w:rPr>
              <w:t xml:space="preserve">Pretendentam jāiesniedz dokumenti, kas aizpildīti atbilstoši nolikumam klāt pievienoto veidlapu formai. </w:t>
            </w:r>
          </w:p>
          <w:p>
            <w:pPr>
              <w:pStyle w:val="Pamatteksts"/>
              <w:tabs>
                <w:tab w:val="clear" w:pos="720"/>
                <w:tab w:val="left" w:pos="746" w:leader="none"/>
              </w:tabs>
              <w:spacing w:lineRule="auto" w:line="240" w:before="0" w:after="0"/>
              <w:ind w:hanging="360"/>
              <w:jc w:val="both"/>
              <w:rPr>
                <w:sz w:val="22"/>
                <w:szCs w:val="22"/>
              </w:rPr>
            </w:pPr>
            <w:r>
              <w:rPr>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746" w:leader="none"/>
              </w:tabs>
              <w:spacing w:lineRule="auto" w:line="240" w:before="0" w:after="0"/>
              <w:jc w:val="both"/>
              <w:rPr>
                <w:sz w:val="22"/>
                <w:szCs w:val="22"/>
              </w:rPr>
            </w:pPr>
            <w:r>
              <w:rPr>
                <w:sz w:val="22"/>
                <w:szCs w:val="22"/>
              </w:rPr>
              <w:t xml:space="preserve">Visām izmaksām piedāvājumā jābūt uzrādītām </w:t>
            </w:r>
            <w:r>
              <w:rPr>
                <w:i/>
                <w:sz w:val="22"/>
                <w:szCs w:val="22"/>
              </w:rPr>
              <w:t>euro</w:t>
            </w:r>
            <w:r>
              <w:rPr>
                <w:sz w:val="22"/>
                <w:szCs w:val="22"/>
              </w:rPr>
              <w:t xml:space="preserve"> (EUR), noapaļojot līdz 2 (</w:t>
            </w:r>
            <w:r>
              <w:rPr>
                <w:i/>
                <w:sz w:val="22"/>
                <w:szCs w:val="22"/>
              </w:rPr>
              <w:t>diviem</w:t>
            </w:r>
            <w:r>
              <w:rPr>
                <w:sz w:val="22"/>
                <w:szCs w:val="22"/>
              </w:rPr>
              <w:t>) cipariem aiz komata.</w:t>
            </w:r>
          </w:p>
          <w:p>
            <w:pPr>
              <w:pStyle w:val="Pamatteksts"/>
              <w:tabs>
                <w:tab w:val="clear" w:pos="720"/>
                <w:tab w:val="left" w:pos="746" w:leader="none"/>
              </w:tabs>
              <w:spacing w:lineRule="auto" w:line="240" w:before="0" w:after="0"/>
              <w:ind w:hanging="360"/>
              <w:jc w:val="both"/>
              <w:rPr>
                <w:sz w:val="22"/>
                <w:szCs w:val="22"/>
              </w:rPr>
            </w:pPr>
            <w:r>
              <w:rPr>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746" w:leader="none"/>
              </w:tabs>
              <w:spacing w:lineRule="auto" w:line="240" w:before="0" w:after="0"/>
              <w:jc w:val="both"/>
              <w:rPr>
                <w:rFonts w:eastAsia="Helvetica"/>
                <w:sz w:val="22"/>
                <w:szCs w:val="22"/>
              </w:rPr>
            </w:pPr>
            <w:r>
              <w:rPr>
                <w:sz w:val="22"/>
                <w:szCs w:val="22"/>
              </w:rPr>
              <w:t xml:space="preserve">Pretendentam piedāvājums jāiesniedz latviešu valodā. </w:t>
            </w:r>
            <w:r>
              <w:rPr>
                <w:rFonts w:eastAsia="Helvetica"/>
                <w:sz w:val="22"/>
                <w:szCs w:val="22"/>
              </w:rPr>
              <w:t>Ja piedāvājumā iekļaujamā informācija ir</w:t>
            </w:r>
            <w:r>
              <w:rPr>
                <w:sz w:val="22"/>
                <w:szCs w:val="22"/>
              </w:rPr>
              <w:t xml:space="preserve"> citā valodā, pretendents pievieno tulkojumu latviešu valodā, kas sagatavots atbilstoši normatīvajiem aktiem par kārtību, kādā apliecināmi dokumentu tulkojumi valsts valodā</w:t>
            </w:r>
            <w:r>
              <w:rPr>
                <w:rStyle w:val="Vresenkurs"/>
                <w:rStyle w:val="Vresenkurs"/>
                <w:sz w:val="22"/>
                <w:szCs w:val="22"/>
              </w:rPr>
              <w:footnoteReference w:id="5"/>
            </w:r>
            <w:r>
              <w:rPr>
                <w:rFonts w:eastAsia="Helvetica"/>
                <w:sz w:val="22"/>
                <w:szCs w:val="22"/>
              </w:rPr>
              <w:t>.</w:t>
            </w:r>
          </w:p>
          <w:p>
            <w:pPr>
              <w:pStyle w:val="Pamatteksts"/>
              <w:tabs>
                <w:tab w:val="clear" w:pos="720"/>
                <w:tab w:val="left" w:pos="746" w:leader="none"/>
              </w:tabs>
              <w:spacing w:lineRule="auto" w:line="240" w:before="0" w:after="0"/>
              <w:ind w:hanging="360"/>
              <w:jc w:val="both"/>
              <w:rPr>
                <w:sz w:val="22"/>
                <w:szCs w:val="22"/>
              </w:rPr>
            </w:pPr>
            <w:r>
              <w:rPr>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746" w:leader="none"/>
              </w:tabs>
              <w:spacing w:lineRule="auto" w:line="240" w:before="0" w:after="0"/>
              <w:jc w:val="both"/>
              <w:rPr>
                <w:sz w:val="22"/>
                <w:szCs w:val="22"/>
              </w:rPr>
            </w:pPr>
            <w:r>
              <w:rPr>
                <w:sz w:val="22"/>
                <w:szCs w:val="22"/>
              </w:rPr>
              <w:t>Pretendents iesniedz parakstītu piedāvājumu. Parakstītam jābūt katram piedāvājumā iekļautajam oriģinālajam dokumentam</w:t>
            </w:r>
          </w:p>
          <w:p>
            <w:pPr>
              <w:pStyle w:val="Pamatteksts"/>
              <w:tabs>
                <w:tab w:val="clear" w:pos="720"/>
                <w:tab w:val="left" w:pos="746" w:leader="none"/>
              </w:tabs>
              <w:spacing w:lineRule="auto" w:line="240" w:before="0" w:after="0"/>
              <w:ind w:hanging="360"/>
              <w:jc w:val="both"/>
              <w:rPr>
                <w:sz w:val="22"/>
                <w:szCs w:val="22"/>
              </w:rPr>
            </w:pPr>
            <w:r>
              <w:rPr>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746" w:leader="none"/>
              </w:tabs>
              <w:spacing w:lineRule="auto" w:line="240" w:before="0" w:after="0"/>
              <w:jc w:val="both"/>
              <w:rPr>
                <w:bCs/>
                <w:sz w:val="22"/>
                <w:szCs w:val="22"/>
              </w:rPr>
            </w:pPr>
            <w:r>
              <w:rPr>
                <w:sz w:val="22"/>
                <w:szCs w:val="22"/>
              </w:rPr>
              <w:t>D</w:t>
            </w:r>
            <w:r>
              <w:rPr>
                <w:bCs/>
                <w:sz w:val="22"/>
                <w:szCs w:val="22"/>
              </w:rPr>
              <w:t>okumentus pašrocīgi paraksta pretendenta paraksttiesīga amatpersona vai pilnvarota persona. Ja dokumentus paraksta pilnvarotā persona, piedāvājumam pievieno attiecīgās pilnvaras apliecinātu kopiju, ko iekļauj (iešuj) pretendenta atlases dokumentos.</w:t>
            </w:r>
          </w:p>
          <w:p>
            <w:pPr>
              <w:pStyle w:val="Pamatteksts"/>
              <w:tabs>
                <w:tab w:val="clear" w:pos="720"/>
                <w:tab w:val="left" w:pos="746" w:leader="none"/>
              </w:tabs>
              <w:spacing w:lineRule="auto" w:line="240" w:before="0" w:after="0"/>
              <w:ind w:hanging="360"/>
              <w:jc w:val="both"/>
              <w:rPr>
                <w:sz w:val="22"/>
                <w:szCs w:val="22"/>
              </w:rPr>
            </w:pPr>
            <w:r>
              <w:rPr>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567" w:leader="none"/>
                <w:tab w:val="left" w:pos="851" w:leader="none"/>
              </w:tabs>
              <w:spacing w:lineRule="auto" w:line="240" w:before="0" w:after="0"/>
              <w:jc w:val="both"/>
              <w:rPr>
                <w:sz w:val="22"/>
                <w:szCs w:val="22"/>
              </w:rPr>
            </w:pPr>
            <w:r>
              <w:rPr>
                <w:rFonts w:eastAsia="Helvetica"/>
                <w:sz w:val="22"/>
                <w:szCs w:val="22"/>
              </w:rPr>
              <w:t xml:space="preserve">Iesniedzot piedāvājumu, piegādātājs ir tiesīgs visu iesniegto dokumentu atvasinājumu un tulkojumu pareizību apliecināt ar vienu apliecinājumu atbilstoši </w:t>
            </w:r>
            <w:r>
              <w:rPr>
                <w:sz w:val="22"/>
                <w:szCs w:val="22"/>
              </w:rPr>
              <w:t>normatīvajiem aktiem par kārtību, kādā apliecināmi dokumentu atvasinājumi</w:t>
            </w:r>
            <w:r>
              <w:rPr>
                <w:rStyle w:val="Vresenkurs"/>
                <w:rStyle w:val="Vresenkurs"/>
                <w:sz w:val="22"/>
                <w:szCs w:val="22"/>
              </w:rPr>
              <w:footnoteReference w:id="6"/>
            </w:r>
            <w:r>
              <w:rPr>
                <w:sz w:val="22"/>
                <w:szCs w:val="22"/>
              </w:rPr>
              <w:t>.</w:t>
            </w:r>
          </w:p>
          <w:p>
            <w:pPr>
              <w:pStyle w:val="Pamatteksts"/>
              <w:tabs>
                <w:tab w:val="clear" w:pos="720"/>
                <w:tab w:val="left" w:pos="567" w:leader="none"/>
                <w:tab w:val="left" w:pos="851" w:leader="none"/>
              </w:tabs>
              <w:spacing w:lineRule="auto" w:line="240" w:before="0" w:after="0"/>
              <w:ind w:left="720" w:hanging="0"/>
              <w:jc w:val="both"/>
              <w:rPr>
                <w:sz w:val="22"/>
                <w:szCs w:val="22"/>
              </w:rPr>
            </w:pPr>
            <w:r>
              <w:rPr>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567" w:leader="none"/>
                <w:tab w:val="left" w:pos="851" w:leader="none"/>
              </w:tabs>
              <w:spacing w:lineRule="auto" w:line="240" w:before="0" w:after="0"/>
              <w:jc w:val="both"/>
              <w:rPr>
                <w:sz w:val="22"/>
                <w:szCs w:val="22"/>
              </w:rPr>
            </w:pPr>
            <w:r>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pPr>
              <w:pStyle w:val="Pamatteksts"/>
              <w:tabs>
                <w:tab w:val="clear" w:pos="720"/>
                <w:tab w:val="left" w:pos="567" w:leader="none"/>
                <w:tab w:val="left" w:pos="851" w:leader="none"/>
              </w:tabs>
              <w:spacing w:lineRule="auto" w:line="240" w:before="0" w:after="0"/>
              <w:jc w:val="both"/>
              <w:rPr>
                <w:rFonts w:eastAsia="Helvetica"/>
                <w:sz w:val="22"/>
                <w:szCs w:val="22"/>
              </w:rPr>
            </w:pPr>
            <w:r>
              <w:rPr>
                <w:rFonts w:eastAsia="Helvetica"/>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567" w:leader="none"/>
                <w:tab w:val="left" w:pos="851" w:leader="none"/>
              </w:tabs>
              <w:spacing w:lineRule="auto" w:line="240" w:before="0" w:after="0"/>
              <w:jc w:val="both"/>
              <w:rPr>
                <w:sz w:val="22"/>
                <w:szCs w:val="22"/>
              </w:rPr>
            </w:pPr>
            <w:r>
              <w:rPr>
                <w:sz w:val="22"/>
                <w:szCs w:val="22"/>
              </w:rPr>
              <w:t>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w:t>
            </w:r>
          </w:p>
          <w:p>
            <w:pPr>
              <w:pStyle w:val="Pamatteksts"/>
              <w:tabs>
                <w:tab w:val="clear" w:pos="720"/>
                <w:tab w:val="left" w:pos="567" w:leader="none"/>
                <w:tab w:val="left" w:pos="851" w:leader="none"/>
              </w:tabs>
              <w:spacing w:lineRule="auto" w:line="240" w:before="0" w:after="0"/>
              <w:jc w:val="both"/>
              <w:rPr>
                <w:rFonts w:eastAsia="Helvetica"/>
                <w:sz w:val="22"/>
                <w:szCs w:val="22"/>
              </w:rPr>
            </w:pPr>
            <w:r>
              <w:rPr>
                <w:rFonts w:eastAsia="Helvetica"/>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567" w:leader="none"/>
                <w:tab w:val="left" w:pos="851" w:leader="none"/>
              </w:tabs>
              <w:spacing w:lineRule="auto" w:line="240" w:before="0" w:after="0"/>
              <w:jc w:val="both"/>
              <w:rPr>
                <w:sz w:val="22"/>
                <w:szCs w:val="22"/>
              </w:rPr>
            </w:pPr>
            <w:r>
              <w:rPr>
                <w:sz w:val="22"/>
                <w:szCs w:val="22"/>
              </w:rPr>
              <w:t>Pretendents pirms piedāvājumu iesniegšanas termiņa beigām var grozīt vai atsaukt iesniegto piedāvājumu.</w:t>
            </w:r>
          </w:p>
          <w:p>
            <w:pPr>
              <w:pStyle w:val="Pamatteksts"/>
              <w:tabs>
                <w:tab w:val="clear" w:pos="720"/>
                <w:tab w:val="left" w:pos="567" w:leader="none"/>
                <w:tab w:val="left" w:pos="851" w:leader="none"/>
              </w:tabs>
              <w:spacing w:lineRule="auto" w:line="240" w:before="0" w:after="0"/>
              <w:jc w:val="both"/>
              <w:rPr>
                <w:rFonts w:eastAsia="Helvetica"/>
                <w:sz w:val="22"/>
                <w:szCs w:val="22"/>
              </w:rPr>
            </w:pPr>
            <w:r>
              <w:rPr>
                <w:rFonts w:eastAsia="Helvetica"/>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567" w:leader="none"/>
                <w:tab w:val="left" w:pos="851" w:leader="none"/>
              </w:tabs>
              <w:spacing w:lineRule="auto" w:line="240" w:before="0" w:after="0"/>
              <w:jc w:val="both"/>
              <w:rPr>
                <w:sz w:val="22"/>
                <w:szCs w:val="22"/>
              </w:rPr>
            </w:pPr>
            <w:r>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pPr>
              <w:pStyle w:val="Pamatteksts"/>
              <w:tabs>
                <w:tab w:val="clear" w:pos="720"/>
                <w:tab w:val="left" w:pos="567" w:leader="none"/>
                <w:tab w:val="left" w:pos="851" w:leader="none"/>
              </w:tabs>
              <w:spacing w:lineRule="auto" w:line="240" w:before="0" w:after="0"/>
              <w:jc w:val="both"/>
              <w:rPr>
                <w:rFonts w:eastAsia="Helvetica"/>
                <w:sz w:val="22"/>
                <w:szCs w:val="22"/>
              </w:rPr>
            </w:pPr>
            <w:r>
              <w:rPr>
                <w:rFonts w:eastAsia="Helvetica"/>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567" w:leader="none"/>
                <w:tab w:val="left" w:pos="851" w:leader="none"/>
              </w:tabs>
              <w:spacing w:lineRule="auto" w:line="240" w:before="0" w:after="0"/>
              <w:jc w:val="both"/>
              <w:rPr>
                <w:sz w:val="22"/>
                <w:szCs w:val="22"/>
              </w:rPr>
            </w:pPr>
            <w:r>
              <w:rPr>
                <w:sz w:val="22"/>
                <w:szCs w:val="22"/>
              </w:rPr>
              <w:t>Komisija pieņem Eiropas vienoto iepirkuma procedūras dokumentu (turpmāk – ESPD)</w:t>
            </w:r>
            <w:r>
              <w:rPr>
                <w:rStyle w:val="Vresenkurs"/>
                <w:rStyle w:val="Vresenkurs"/>
                <w:sz w:val="22"/>
                <w:szCs w:val="22"/>
              </w:rPr>
              <w:footnoteReference w:id="7"/>
            </w:r>
            <w:r>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r>
          </w:p>
          <w:p>
            <w:pPr>
              <w:pStyle w:val="Pamatteksts"/>
              <w:tabs>
                <w:tab w:val="clear" w:pos="720"/>
                <w:tab w:val="left" w:pos="5208" w:leader="none"/>
              </w:tabs>
              <w:spacing w:lineRule="auto" w:line="240" w:before="0" w:after="0"/>
              <w:jc w:val="both"/>
              <w:rPr>
                <w:sz w:val="22"/>
                <w:szCs w:val="22"/>
              </w:rPr>
            </w:pPr>
            <w:r>
              <w:rPr>
                <w:sz w:val="22"/>
                <w:szCs w:val="22"/>
              </w:rPr>
              <w:tab/>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567" w:leader="none"/>
                <w:tab w:val="left" w:pos="851" w:leader="none"/>
              </w:tabs>
              <w:spacing w:lineRule="auto" w:line="240" w:before="0" w:after="0"/>
              <w:jc w:val="both"/>
              <w:rPr>
                <w:sz w:val="22"/>
                <w:szCs w:val="22"/>
              </w:rPr>
            </w:pPr>
            <w:r>
              <w:rPr>
                <w:sz w:val="22"/>
                <w:szCs w:val="22"/>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p>
          <w:p>
            <w:pPr>
              <w:pStyle w:val="Pamatteksts"/>
              <w:tabs>
                <w:tab w:val="clear" w:pos="720"/>
                <w:tab w:val="left" w:pos="567" w:leader="none"/>
                <w:tab w:val="left" w:pos="851" w:leader="none"/>
              </w:tabs>
              <w:spacing w:lineRule="auto" w:line="240" w:before="0" w:after="0"/>
              <w:jc w:val="both"/>
              <w:rPr>
                <w:rFonts w:eastAsia="Helvetica"/>
                <w:sz w:val="22"/>
                <w:szCs w:val="22"/>
              </w:rPr>
            </w:pPr>
            <w:r>
              <w:rPr>
                <w:rFonts w:eastAsia="Helvetica"/>
                <w:sz w:val="22"/>
                <w:szCs w:val="22"/>
              </w:rPr>
            </w:r>
          </w:p>
        </w:tc>
      </w:tr>
      <w:tr>
        <w:trPr/>
        <w:tc>
          <w:tcPr>
            <w:tcW w:w="9351" w:type="dxa"/>
            <w:tcBorders>
              <w:top w:val="nil"/>
              <w:left w:val="nil"/>
              <w:bottom w:val="nil"/>
              <w:right w:val="nil"/>
              <w:insideH w:val="nil"/>
              <w:insideV w:val="nil"/>
            </w:tcBorders>
            <w:shd w:fill="auto" w:val="clear"/>
          </w:tcPr>
          <w:p>
            <w:pPr>
              <w:pStyle w:val="Pamatteksts"/>
              <w:numPr>
                <w:ilvl w:val="0"/>
                <w:numId w:val="6"/>
              </w:numPr>
              <w:tabs>
                <w:tab w:val="clear" w:pos="720"/>
                <w:tab w:val="left" w:pos="567" w:leader="none"/>
                <w:tab w:val="left" w:pos="851" w:leader="none"/>
              </w:tabs>
              <w:spacing w:lineRule="auto" w:line="240" w:before="0" w:after="0"/>
              <w:jc w:val="both"/>
              <w:rPr>
                <w:sz w:val="22"/>
                <w:szCs w:val="22"/>
              </w:rPr>
            </w:pPr>
            <w:r>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pPr>
              <w:pStyle w:val="Pamatteksts"/>
              <w:tabs>
                <w:tab w:val="clear" w:pos="720"/>
                <w:tab w:val="left" w:pos="567" w:leader="none"/>
                <w:tab w:val="left" w:pos="851" w:leader="none"/>
              </w:tabs>
              <w:spacing w:lineRule="auto" w:line="240" w:before="0" w:after="0"/>
              <w:jc w:val="both"/>
              <w:rPr>
                <w:sz w:val="22"/>
                <w:szCs w:val="22"/>
              </w:rPr>
            </w:pPr>
            <w:r>
              <w:rPr>
                <w:sz w:val="22"/>
                <w:szCs w:val="22"/>
              </w:rPr>
            </w:r>
          </w:p>
          <w:p>
            <w:pPr>
              <w:pStyle w:val="Pamatteksts"/>
              <w:tabs>
                <w:tab w:val="clear" w:pos="720"/>
                <w:tab w:val="left" w:pos="567" w:leader="none"/>
                <w:tab w:val="left" w:pos="851" w:leader="none"/>
              </w:tabs>
              <w:spacing w:lineRule="auto" w:line="240" w:before="0" w:after="0"/>
              <w:jc w:val="both"/>
              <w:rPr>
                <w:sz w:val="22"/>
                <w:szCs w:val="22"/>
              </w:rPr>
            </w:pPr>
            <w:r>
              <w:rPr>
                <w:sz w:val="22"/>
                <w:szCs w:val="22"/>
              </w:rPr>
            </w:r>
          </w:p>
          <w:p>
            <w:pPr>
              <w:pStyle w:val="Pamatteksts"/>
              <w:tabs>
                <w:tab w:val="clear" w:pos="720"/>
                <w:tab w:val="left" w:pos="567" w:leader="none"/>
                <w:tab w:val="left" w:pos="851" w:leader="none"/>
              </w:tabs>
              <w:spacing w:lineRule="auto" w:line="240" w:before="0" w:after="0"/>
              <w:jc w:val="both"/>
              <w:rPr>
                <w:sz w:val="22"/>
                <w:szCs w:val="22"/>
              </w:rPr>
            </w:pPr>
            <w:r>
              <w:rPr>
                <w:sz w:val="22"/>
                <w:szCs w:val="22"/>
              </w:rPr>
            </w:r>
          </w:p>
          <w:p>
            <w:pPr>
              <w:pStyle w:val="Pamatteksts"/>
              <w:tabs>
                <w:tab w:val="clear" w:pos="720"/>
                <w:tab w:val="left" w:pos="567" w:leader="none"/>
                <w:tab w:val="left" w:pos="851" w:leader="none"/>
              </w:tabs>
              <w:spacing w:lineRule="auto" w:line="240" w:before="0" w:after="0"/>
              <w:jc w:val="both"/>
              <w:rPr>
                <w:sz w:val="22"/>
                <w:szCs w:val="22"/>
              </w:rPr>
            </w:pPr>
            <w:r>
              <w:rPr>
                <w:sz w:val="22"/>
                <w:szCs w:val="22"/>
              </w:rPr>
            </w:r>
          </w:p>
        </w:tc>
      </w:tr>
    </w:tbl>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rmal"/>
        <w:numPr>
          <w:ilvl w:val="0"/>
          <w:numId w:val="0"/>
        </w:numPr>
        <w:suppressAutoHyphens w:val="true"/>
        <w:spacing w:before="0" w:after="0"/>
        <w:jc w:val="right"/>
        <w:outlineLvl w:val="3"/>
        <w:rPr/>
      </w:pPr>
      <w:r>
        <w:rPr>
          <w:rFonts w:eastAsia="Times New Roman" w:cs="Times New Roman" w:ascii="Times New Roman" w:hAnsi="Times New Roman"/>
          <w:b w:val="false"/>
          <w:bCs w:val="false"/>
          <w:sz w:val="22"/>
          <w:szCs w:val="22"/>
          <w:lang w:eastAsia="ar-SA"/>
        </w:rPr>
        <w:t xml:space="preserve">6.pielikums </w:t>
      </w:r>
    </w:p>
    <w:p>
      <w:pPr>
        <w:pStyle w:val="Normal"/>
        <w:keepNext w:val="true"/>
        <w:numPr>
          <w:ilvl w:val="0"/>
          <w:numId w:val="0"/>
        </w:numPr>
        <w:suppressAutoHyphens w:val="true"/>
        <w:spacing w:before="0" w:after="0"/>
        <w:jc w:val="right"/>
        <w:outlineLvl w:val="3"/>
        <w:rPr>
          <w:b w:val="false"/>
          <w:b w:val="false"/>
          <w:bCs w:val="false"/>
          <w:sz w:val="22"/>
          <w:szCs w:val="22"/>
        </w:rPr>
      </w:pPr>
      <w:r>
        <w:rPr>
          <w:rFonts w:eastAsia="Times New Roman" w:cs="Times New Roman" w:ascii="Times New Roman" w:hAnsi="Times New Roman"/>
          <w:b w:val="false"/>
          <w:bCs w:val="false"/>
          <w:sz w:val="22"/>
          <w:szCs w:val="22"/>
          <w:lang w:eastAsia="ar-SA"/>
        </w:rPr>
        <w:t xml:space="preserve">Iepirkuma “Transporta dīzeļdegvielas vairumtirdzniecība un piegāde  </w:t>
      </w:r>
    </w:p>
    <w:p>
      <w:pPr>
        <w:pStyle w:val="Normal"/>
        <w:numPr>
          <w:ilvl w:val="0"/>
          <w:numId w:val="0"/>
        </w:numPr>
        <w:suppressAutoHyphens w:val="true"/>
        <w:spacing w:lineRule="auto" w:line="240" w:before="0" w:after="0"/>
        <w:ind w:right="-335" w:hanging="0"/>
        <w:jc w:val="right"/>
        <w:outlineLvl w:val="3"/>
        <w:rPr>
          <w:rFonts w:ascii="Times New Roman" w:hAnsi="Times New Roman" w:cs="Times New Roman"/>
          <w:b w:val="false"/>
          <w:b w:val="false"/>
          <w:bCs w:val="false"/>
          <w:sz w:val="22"/>
          <w:szCs w:val="22"/>
        </w:rPr>
      </w:pPr>
      <w:bookmarkStart w:id="44" w:name="__DdeLink__6463_180739910"/>
      <w:r>
        <w:rPr>
          <w:rFonts w:eastAsia="Times New Roman" w:cs="Times New Roman" w:ascii="Times New Roman" w:hAnsi="Times New Roman"/>
          <w:b w:val="false"/>
          <w:bCs w:val="false"/>
          <w:sz w:val="22"/>
          <w:szCs w:val="22"/>
          <w:lang w:eastAsia="ar-SA"/>
        </w:rPr>
        <w:t>Rucavas novada pašvaldības vajadzībām”, identifikācijas numurs RND 2019/6, nolikumam</w:t>
      </w:r>
      <w:bookmarkEnd w:id="44"/>
    </w:p>
    <w:p>
      <w:pPr>
        <w:pStyle w:val="NoSpacing"/>
        <w:jc w:val="right"/>
        <w:rPr>
          <w:b/>
          <w:b/>
          <w:sz w:val="22"/>
          <w:szCs w:val="22"/>
        </w:rPr>
      </w:pPr>
      <w:r>
        <w:rPr>
          <w:b/>
          <w:sz w:val="22"/>
          <w:szCs w:val="22"/>
        </w:rPr>
      </w:r>
    </w:p>
    <w:p>
      <w:pPr>
        <w:pStyle w:val="Normal"/>
        <w:jc w:val="center"/>
        <w:rPr>
          <w:rFonts w:ascii="Times New Roman" w:hAnsi="Times New Roman" w:cs="Times New Roman"/>
          <w:b/>
          <w:b/>
        </w:rPr>
      </w:pPr>
      <w:r>
        <w:rPr>
          <w:rFonts w:cs="Times New Roman" w:ascii="Times New Roman" w:hAnsi="Times New Roman"/>
          <w:b/>
        </w:rPr>
        <w:t>VĒRTĒŠANAS NOSACĪJUMI</w:t>
      </w:r>
    </w:p>
    <w:tbl>
      <w:tblPr>
        <w:tblW w:w="9351" w:type="dxa"/>
        <w:jc w:val="left"/>
        <w:tblInd w:w="0" w:type="dxa"/>
        <w:tblBorders/>
        <w:tblCellMar>
          <w:top w:w="0" w:type="dxa"/>
          <w:left w:w="108" w:type="dxa"/>
          <w:bottom w:w="0" w:type="dxa"/>
          <w:right w:w="108" w:type="dxa"/>
        </w:tblCellMar>
        <w:tblLook w:firstRow="1" w:noVBand="1" w:lastRow="0" w:firstColumn="1" w:lastColumn="0" w:noHBand="0" w:val="04a0"/>
      </w:tblPr>
      <w:tblGrid>
        <w:gridCol w:w="9351"/>
      </w:tblGrid>
      <w:tr>
        <w:trPr/>
        <w:tc>
          <w:tcPr>
            <w:tcW w:w="9351" w:type="dxa"/>
            <w:tcBorders/>
            <w:shd w:fill="auto" w:val="clear"/>
          </w:tcPr>
          <w:p>
            <w:pPr>
              <w:pStyle w:val="Normal"/>
              <w:numPr>
                <w:ilvl w:val="0"/>
                <w:numId w:val="5"/>
              </w:numPr>
              <w:spacing w:lineRule="auto" w:line="240" w:before="0" w:after="0"/>
              <w:contextualSpacing/>
              <w:jc w:val="both"/>
              <w:rPr/>
            </w:pPr>
            <w:r>
              <w:rPr>
                <w:rStyle w:val="Emailstyle19"/>
                <w:rFonts w:eastAsia="Helvetica" w:cs="Times New Roman" w:ascii="Times New Roman" w:hAnsi="Times New Roman"/>
                <w:bCs/>
                <w:iCs/>
                <w:color w:val="auto"/>
                <w:sz w:val="22"/>
                <w:szCs w:val="22"/>
                <w:lang w:eastAsia="lv-LV"/>
              </w:rPr>
              <w:t xml:space="preserve">Iepirkuma procedūru veic </w:t>
            </w:r>
            <w:r>
              <w:rPr>
                <w:rStyle w:val="Emailstyle19"/>
                <w:rFonts w:eastAsia="Helvetica" w:cs="Times New Roman" w:ascii="Times New Roman" w:hAnsi="Times New Roman"/>
                <w:bCs/>
                <w:iCs/>
                <w:color w:val="auto"/>
                <w:sz w:val="22"/>
                <w:szCs w:val="22"/>
                <w:lang w:val="lv-LV" w:eastAsia="lv-LV"/>
              </w:rPr>
              <w:t>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2018.gada 10.maija Iepirkumu k</w:t>
            </w:r>
            <w:r>
              <w:rPr>
                <w:rStyle w:val="Emailstyle19"/>
                <w:rFonts w:eastAsia="Helvetica" w:cs="Times New Roman" w:ascii="Times New Roman" w:hAnsi="Times New Roman"/>
                <w:bCs/>
                <w:i w:val="false"/>
                <w:iCs w:val="false"/>
                <w:color w:val="auto"/>
                <w:sz w:val="22"/>
                <w:szCs w:val="22"/>
                <w:lang w:val="lv-LV" w:eastAsia="lv-LV"/>
              </w:rPr>
              <w:t xml:space="preserve">omisijas lēmums (protokols Nr.1) un 2018.gada 9.novembra Iepirkumu komisijas lēmums (protokols Nr.1) ( Nolikumā arī – Komisija). </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Piedāvājumu noformējuma pārbaudi, pretendentu atlasi un piedāvājumu vērtēšanu Komisija veic slēgtā sēdē.</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Pārbaudot piedāvājumu atbilstību nolikumā izvirzītajām prasībām, Komisija pārbauda atbilstību noformējuma prasībām, atbilstību pretendentu atlases prasībām, atbilstību tehniskajai specifikācijai un veic piedāvājuma izvēli.</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Ja Komisijai rodas šaubas par iesniegtās dokumenta kopijas autentiskumu, tā pieprasa, lai pretendents uzrāda dokumenta oriģinālu vai iesniedz apliecinātu dokumenta kopiju.</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Piedāvājumu vērtēšanas gaitā Komisija ir tiesīga pieprasīt, lai tiek izskaidrota tehniskajā un finanšu piedāvājumā iekļautā informācija.</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Ja Komisija pieprasa, lai pretendents precizē iesniegto informāciju, tā nosaka termiņu, līdz kuram pretendentam jāsniedz atbilde.</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Ja pretendents neiesniedz Komisijas pieprasītās ziņas vai paskaidrojumus, Komisija piedāvājumu vērtē pēc tiem dokumentiem, kas ir iekļauti piedāvājumā.</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Piedāvājuma noformējuma pārbaudei, pretendentu atlasei, kā arī piedāvājumu vērtēšanai un salīdzināšanai Komisija var pieaicināt ekspertu.</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Ekspertam ir tiesības iepazīties ar piedāvājumiem, kā arī lūgt Komisiju pieprasīt no pretendenta papildu informāciju, kas ir nepieciešama atzinuma sagatavošanai.</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Eksperts piedāvājumā ietverto un pretendenta papildus sniegto informāciju drīkst izmantot tikai sava atzinuma sniegšanai.</w:t>
            </w:r>
          </w:p>
        </w:tc>
      </w:tr>
      <w:tr>
        <w:trPr>
          <w:trHeight w:val="913" w:hRule="atLeast"/>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Konstatējot piedāvājuma neatbilstību kādai no prasībām, Komisijai ir tiesības izslēgt pretendentu no turpmākas dalības iepirkumā un neizskatīt piedāvājumu nākamajā izvērtēšanas posmā.</w:t>
            </w:r>
          </w:p>
        </w:tc>
      </w:tr>
      <w:tr>
        <w:trPr/>
        <w:tc>
          <w:tcPr>
            <w:tcW w:w="9351" w:type="dxa"/>
            <w:tcBorders/>
            <w:shd w:fill="auto" w:val="clear"/>
          </w:tcPr>
          <w:p>
            <w:pPr>
              <w:pStyle w:val="ListParagraph"/>
              <w:numPr>
                <w:ilvl w:val="0"/>
                <w:numId w:val="5"/>
              </w:numPr>
              <w:spacing w:lineRule="auto" w:line="240" w:before="0" w:after="0"/>
              <w:contextualSpacing/>
              <w:jc w:val="both"/>
              <w:rPr>
                <w:rFonts w:ascii="Times New Roman" w:hAnsi="Times New Roman" w:cs="Times New Roman"/>
              </w:rPr>
            </w:pPr>
            <w:r>
              <w:rPr>
                <w:rFonts w:cs="Times New Roman" w:ascii="Times New Roman" w:hAnsi="Times New Roman"/>
              </w:rPr>
              <w:t>Lai pārbaudītu, vai pretendents nav izslēdzams no dalības iepirkumā Publisko iepirkumu likuma 9.panta astotās daļas 1., 2. vai 4. punktā minēto apstākļu dēļ, Komisija rīkojas atbilstoši Publisko iepirkumu likuma 9.panta devītajai un desmitajai daļai.</w:t>
            </w:r>
          </w:p>
        </w:tc>
      </w:tr>
      <w:tr>
        <w:trPr/>
        <w:tc>
          <w:tcPr>
            <w:tcW w:w="9351" w:type="dxa"/>
            <w:tcBorders/>
            <w:shd w:fill="auto" w:val="clear"/>
          </w:tcPr>
          <w:p>
            <w:pPr>
              <w:pStyle w:val="ListParagraph"/>
              <w:numPr>
                <w:ilvl w:val="0"/>
                <w:numId w:val="5"/>
              </w:numPr>
              <w:spacing w:lineRule="auto" w:line="240" w:before="0" w:after="0"/>
              <w:contextualSpacing/>
              <w:jc w:val="both"/>
              <w:rPr/>
            </w:pPr>
            <w:r>
              <w:rPr>
                <w:rFonts w:cs="Times New Roman" w:ascii="Times New Roman" w:hAnsi="Times New Roman"/>
              </w:rPr>
              <w:t xml:space="preserve">Triju darba dienu laikā pēc lēmuma pieņemšanas Komisija informē visus pretendentus par pieņemto lēmumu. </w:t>
            </w:r>
            <w:r>
              <w:rPr>
                <w:rFonts w:cs="Times New Roman" w:ascii="Times New Roman" w:hAnsi="Times New Roman"/>
                <w:sz w:val="22"/>
                <w:szCs w:val="22"/>
              </w:rPr>
              <w:t>Informācija tiks nosūtīta uz pieteikumā norādīto e-pasta adresi, izmantojot drošu elektronisko parakstu.</w:t>
            </w:r>
          </w:p>
        </w:tc>
      </w:tr>
    </w:tbl>
    <w:p>
      <w:pPr>
        <w:pStyle w:val="Normal"/>
        <w:rPr>
          <w:rFonts w:ascii="Times New Roman" w:hAnsi="Times New Roman" w:cs="Times New Roman"/>
          <w:vanish/>
        </w:rPr>
      </w:pPr>
      <w:r>
        <w:rPr>
          <w:rFonts w:cs="Times New Roman" w:ascii="Times New Roman" w:hAnsi="Times New Roman"/>
          <w:vanish/>
        </w:rPr>
      </w:r>
    </w:p>
    <w:p>
      <w:pPr>
        <w:pStyle w:val="Normal"/>
        <w:rPr>
          <w:rFonts w:ascii="Times New Roman" w:hAnsi="Times New Roman" w:cs="Times New Roman"/>
          <w:sz w:val="2"/>
          <w:szCs w:val="2"/>
        </w:rPr>
      </w:pPr>
      <w:r>
        <w:rPr>
          <w:rFonts w:cs="Times New Roman" w:ascii="Times New Roman" w:hAnsi="Times New Roman"/>
          <w:sz w:val="2"/>
          <w:szCs w:val="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Spacing"/>
        <w:jc w:val="right"/>
        <w:rPr>
          <w:sz w:val="22"/>
          <w:szCs w:val="22"/>
        </w:rPr>
      </w:pPr>
      <w:r>
        <w:rPr>
          <w:sz w:val="22"/>
          <w:szCs w:val="22"/>
        </w:rPr>
      </w:r>
    </w:p>
    <w:p>
      <w:pPr>
        <w:pStyle w:val="Normal"/>
        <w:numPr>
          <w:ilvl w:val="0"/>
          <w:numId w:val="0"/>
        </w:numPr>
        <w:suppressAutoHyphens w:val="true"/>
        <w:spacing w:lineRule="auto" w:line="240" w:before="0" w:after="0"/>
        <w:jc w:val="right"/>
        <w:outlineLvl w:val="3"/>
        <w:rPr>
          <w:rFonts w:ascii="Times New Roman" w:hAnsi="Times New Roman"/>
          <w:sz w:val="24"/>
          <w:szCs w:val="24"/>
        </w:rPr>
      </w:pPr>
      <w:r>
        <w:rPr>
          <w:rFonts w:eastAsia="Times New Roman" w:cs="Times New Roman" w:ascii="Times New Roman" w:hAnsi="Times New Roman"/>
          <w:b w:val="false"/>
          <w:bCs w:val="false"/>
          <w:sz w:val="24"/>
          <w:szCs w:val="24"/>
          <w:lang w:eastAsia="ar-SA"/>
        </w:rPr>
        <w:t xml:space="preserve">7.pielikums </w:t>
      </w:r>
    </w:p>
    <w:p>
      <w:pPr>
        <w:pStyle w:val="Normal"/>
        <w:keepNext w:val="true"/>
        <w:numPr>
          <w:ilvl w:val="0"/>
          <w:numId w:val="0"/>
        </w:numPr>
        <w:suppressAutoHyphens w:val="true"/>
        <w:spacing w:lineRule="auto" w:line="240" w:before="0" w:after="0"/>
        <w:jc w:val="right"/>
        <w:outlineLvl w:val="3"/>
        <w:rPr>
          <w:b w:val="false"/>
          <w:b w:val="false"/>
          <w:bCs w:val="false"/>
          <w:sz w:val="22"/>
          <w:szCs w:val="22"/>
        </w:rPr>
      </w:pPr>
      <w:r>
        <w:rPr>
          <w:rFonts w:eastAsia="Times New Roman" w:cs="Times New Roman" w:ascii="Times New Roman" w:hAnsi="Times New Roman"/>
          <w:b w:val="false"/>
          <w:bCs w:val="false"/>
          <w:sz w:val="24"/>
          <w:szCs w:val="24"/>
          <w:lang w:eastAsia="ar-SA"/>
        </w:rPr>
        <w:t xml:space="preserve">Iepirkuma “Transporta dīzeļdegvielas vairumtirdzniecība un piegāde  </w:t>
      </w:r>
    </w:p>
    <w:p>
      <w:pPr>
        <w:pStyle w:val="Normal"/>
        <w:numPr>
          <w:ilvl w:val="0"/>
          <w:numId w:val="0"/>
        </w:numPr>
        <w:suppressAutoHyphens w:val="true"/>
        <w:spacing w:lineRule="auto" w:line="240" w:before="0" w:after="0"/>
        <w:ind w:right="-335" w:hanging="0"/>
        <w:jc w:val="right"/>
        <w:outlineLvl w:val="3"/>
        <w:rPr>
          <w:rFonts w:ascii="Times New Roman" w:hAnsi="Times New Roman" w:cs="Times New Roman"/>
          <w:b w:val="false"/>
          <w:b w:val="false"/>
          <w:bCs w:val="false"/>
          <w:sz w:val="22"/>
          <w:szCs w:val="22"/>
        </w:rPr>
      </w:pPr>
      <w:r>
        <w:rPr>
          <w:rFonts w:eastAsia="Times New Roman" w:cs="Times New Roman" w:ascii="Times New Roman" w:hAnsi="Times New Roman"/>
          <w:b w:val="false"/>
          <w:bCs w:val="false"/>
          <w:sz w:val="24"/>
          <w:szCs w:val="24"/>
          <w:lang w:eastAsia="ar-SA"/>
        </w:rPr>
        <w:t>Rucavas novada pašvaldības vajadzībām”, identifikācijas numurs RND 2019/6, nolikumam</w:t>
      </w:r>
    </w:p>
    <w:p>
      <w:pPr>
        <w:pStyle w:val="NoSpacing"/>
        <w:spacing w:lineRule="auto" w:line="240" w:before="0" w:after="0"/>
        <w:jc w:val="right"/>
        <w:rPr>
          <w:rFonts w:ascii="Times New Roman" w:hAnsi="Times New Roman"/>
          <w:sz w:val="24"/>
          <w:szCs w:val="24"/>
        </w:rPr>
      </w:pPr>
      <w:r>
        <w:rPr>
          <w:sz w:val="24"/>
          <w:szCs w:val="24"/>
        </w:rPr>
      </w:r>
    </w:p>
    <w:p>
      <w:pPr>
        <w:pStyle w:val="NoSpacing"/>
        <w:spacing w:lineRule="auto" w:line="240" w:before="0" w:after="0"/>
        <w:jc w:val="right"/>
        <w:rPr>
          <w:rFonts w:ascii="Times New Roman" w:hAnsi="Times New Roman"/>
          <w:sz w:val="24"/>
          <w:szCs w:val="24"/>
        </w:rPr>
      </w:pPr>
      <w:r>
        <w:rPr>
          <w:sz w:val="24"/>
          <w:szCs w:val="24"/>
        </w:rPr>
      </w:r>
    </w:p>
    <w:p>
      <w:pPr>
        <w:pStyle w:val="Normal"/>
        <w:spacing w:lineRule="auto" w:line="240" w:before="0" w:after="0"/>
        <w:ind w:firstLine="720"/>
        <w:jc w:val="center"/>
        <w:rPr>
          <w:rFonts w:ascii="Times New Roman" w:hAnsi="Times New Roman" w:eastAsia="Times New Roman" w:cs="Times New Roman"/>
          <w:sz w:val="24"/>
          <w:szCs w:val="24"/>
          <w:lang w:eastAsia="lv-LV"/>
        </w:rPr>
      </w:pPr>
      <w:r>
        <w:rPr>
          <w:rFonts w:cs="Times New Roman" w:ascii="Times New Roman" w:hAnsi="Times New Roman"/>
          <w:b/>
          <w:bCs/>
          <w:sz w:val="24"/>
          <w:szCs w:val="24"/>
        </w:rPr>
        <w:t xml:space="preserve">   </w:t>
      </w:r>
      <w:r>
        <w:rPr>
          <w:rFonts w:eastAsia="Times New Roman" w:cs="Times New Roman" w:ascii="Times New Roman" w:hAnsi="Times New Roman"/>
          <w:b/>
          <w:bCs/>
          <w:sz w:val="24"/>
          <w:szCs w:val="24"/>
          <w:lang w:eastAsia="lv-LV"/>
        </w:rPr>
        <w:t>LĪGUMA PROJEKTS Nr._____________</w:t>
      </w:r>
      <w:r>
        <w:rPr>
          <w:rFonts w:eastAsia="Times New Roman" w:cs="Times New Roman" w:ascii="Times New Roman" w:hAnsi="Times New Roman"/>
          <w:b/>
          <w:bCs/>
          <w:i/>
          <w:sz w:val="24"/>
          <w:szCs w:val="24"/>
          <w:lang w:eastAsia="lv-LV"/>
        </w:rPr>
        <w:t xml:space="preserve"> </w:t>
      </w:r>
    </w:p>
    <w:p>
      <w:pPr>
        <w:pStyle w:val="Normal"/>
        <w:spacing w:lineRule="auto" w:line="240" w:before="0" w:after="0"/>
        <w:jc w:val="center"/>
        <w:rPr>
          <w:rFonts w:eastAsia="Times New Roman" w:cs="Times New Roman"/>
          <w:lang w:eastAsia="lv-LV"/>
        </w:rPr>
      </w:pPr>
      <w:r>
        <w:rPr>
          <w:rFonts w:eastAsia="Times New Roman" w:cs="Times New Roman"/>
          <w:lang w:eastAsia="lv-LV"/>
        </w:rPr>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2"/>
          <w:szCs w:val="22"/>
          <w:lang w:eastAsia="lv-LV"/>
        </w:rPr>
        <w:t xml:space="preserve"> </w:t>
      </w:r>
      <w:r>
        <w:rPr>
          <w:rFonts w:eastAsia="Times New Roman" w:cs="Times New Roman" w:ascii="Times New Roman" w:hAnsi="Times New Roman"/>
          <w:b w:val="false"/>
          <w:sz w:val="22"/>
          <w:szCs w:val="22"/>
          <w:lang w:eastAsia="lv-LV"/>
        </w:rPr>
        <w:t>Rucavas novada Rucavas pagastā</w:t>
      </w:r>
      <w:r>
        <w:rPr>
          <w:rFonts w:eastAsia="Times New Roman" w:cs="Times New Roman" w:ascii="Times New Roman" w:hAnsi="Times New Roman"/>
          <w:sz w:val="22"/>
          <w:szCs w:val="22"/>
          <w:lang w:eastAsia="lv-LV"/>
        </w:rPr>
        <w:tab/>
        <w:tab/>
        <w:tab/>
        <w:tab/>
        <w:tab/>
        <w:tab/>
        <w:t>2019.gada ____.</w:t>
      </w:r>
      <w:r>
        <w:rPr>
          <w:rFonts w:eastAsia="Times New Roman" w:cs="Times New Roman" w:ascii="Times New Roman" w:hAnsi="Times New Roman"/>
          <w:sz w:val="24"/>
          <w:szCs w:val="24"/>
          <w:lang w:eastAsia="lv-LV"/>
        </w:rPr>
        <w:t xml:space="preserve">  </w:t>
      </w:r>
      <w:r>
        <w:rPr>
          <w:rFonts w:eastAsia="Times New Roman" w:cs="Times New Roman" w:ascii="Times New Roman" w:hAnsi="Times New Roman"/>
          <w:b/>
          <w:sz w:val="24"/>
          <w:szCs w:val="24"/>
          <w:lang w:eastAsia="lv-LV"/>
        </w:rPr>
        <w:t xml:space="preserve"> </w:t>
      </w:r>
    </w:p>
    <w:p>
      <w:pPr>
        <w:pStyle w:val="Normal"/>
        <w:spacing w:lineRule="auto" w:line="240" w:before="0" w:after="0"/>
        <w:jc w:val="both"/>
        <w:rPr>
          <w:rFonts w:eastAsia="Times New Roman" w:cs="Times New Roman"/>
          <w:lang w:eastAsia="lv-LV"/>
        </w:rPr>
      </w:pPr>
      <w:r>
        <w:rPr>
          <w:rFonts w:eastAsia="Times New Roman" w:cs="Times New Roman"/>
          <w:lang w:eastAsia="lv-LV"/>
        </w:rPr>
      </w:r>
    </w:p>
    <w:p>
      <w:pPr>
        <w:pStyle w:val="Normal"/>
        <w:spacing w:lineRule="auto" w:line="240" w:before="0" w:after="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t xml:space="preserve"> </w:t>
      </w:r>
    </w:p>
    <w:p>
      <w:pPr>
        <w:pStyle w:val="Pamatteksts"/>
        <w:spacing w:lineRule="auto" w:line="240" w:before="0" w:after="0"/>
        <w:jc w:val="both"/>
        <w:rPr>
          <w:rFonts w:ascii="Times New Roman" w:hAnsi="Times New Roman"/>
          <w:sz w:val="24"/>
          <w:szCs w:val="24"/>
        </w:rPr>
      </w:pPr>
      <w:r>
        <w:rPr>
          <w:b/>
          <w:sz w:val="24"/>
          <w:szCs w:val="24"/>
          <w:lang w:eastAsia="lv-LV"/>
        </w:rPr>
        <w:t xml:space="preserve">            </w:t>
      </w:r>
      <w:r>
        <w:rPr>
          <w:b/>
          <w:sz w:val="24"/>
          <w:szCs w:val="24"/>
        </w:rPr>
        <w:t xml:space="preserve">Rucavas novada dome, </w:t>
      </w:r>
      <w:r>
        <w:rPr>
          <w:sz w:val="24"/>
          <w:szCs w:val="24"/>
        </w:rPr>
        <w:t xml:space="preserve">reģ. Nr. LV 90000059230, “Pagastmāja”, Rucava, Rucavas pagasts, Rucavas novads, LV - 3477, tās domes priekšsēdētāja Jāņa Veita personā, </w:t>
      </w:r>
      <w:r>
        <w:rPr>
          <w:rFonts w:eastAsia="Times New Roman" w:cs="Times New Roman"/>
          <w:sz w:val="24"/>
          <w:szCs w:val="24"/>
        </w:rPr>
        <w:t>kurš rīkojas, pamatojoties uz likuma „Par pašvaldībām” un Rucavas novada domes 2009.gada 17.jūlija saistošo noteikumu Nr.1 „Rucavas novada pašvaldības nolikums” pamata, turpmāk šī līguma tekstā saukts</w:t>
      </w:r>
      <w:r>
        <w:rPr>
          <w:sz w:val="24"/>
          <w:szCs w:val="24"/>
        </w:rPr>
        <w:t xml:space="preserve"> Pircējs no vienas puses, </w:t>
      </w:r>
    </w:p>
    <w:p>
      <w:pPr>
        <w:pStyle w:val="Pamatteksts"/>
        <w:spacing w:lineRule="auto" w:line="240" w:before="0" w:after="0"/>
        <w:jc w:val="both"/>
        <w:rPr>
          <w:rFonts w:ascii="Times New Roman" w:hAnsi="Times New Roman"/>
          <w:sz w:val="24"/>
          <w:szCs w:val="24"/>
        </w:rPr>
      </w:pPr>
      <w:r>
        <w:rPr>
          <w:b/>
          <w:sz w:val="24"/>
          <w:szCs w:val="24"/>
        </w:rPr>
        <w:t xml:space="preserve"> </w:t>
      </w:r>
      <w:r>
        <w:rPr>
          <w:sz w:val="24"/>
          <w:szCs w:val="24"/>
        </w:rPr>
        <w:t>un______________________</w:t>
      </w:r>
      <w:r>
        <w:rPr>
          <w:iCs/>
          <w:sz w:val="24"/>
          <w:szCs w:val="24"/>
        </w:rPr>
        <w:t>,reģ.Nr._____________________,</w:t>
      </w:r>
      <w:r>
        <w:rPr>
          <w:sz w:val="24"/>
          <w:szCs w:val="24"/>
        </w:rPr>
        <w:t>tās__________________________________ personā, kura rīkojas saskaņā ar uzņēmuma Statūtiem, turpmāk tekstā saukts Pārdevējs, no otras puses (Pircējs un Pārdevējs, kopā un atsevišķi tekstā saukti Puses/Puse), pamatojoties uz iepirkumu "Transporta dīzeļdegvielas vairumtirdzniecība un piegāde Rucavas novada pašvaldības vajadzībām", (Iepirkuma identifikācijas Nr. RND 2019/6) rezultātiem, noslēdz šo līgumu (turpmāk – Līgums) par sekojošo:</w:t>
      </w:r>
      <w:r>
        <w:rPr>
          <w:sz w:val="24"/>
          <w:szCs w:val="24"/>
          <w:lang w:eastAsia="lv-LV"/>
        </w:rPr>
        <w:t xml:space="preserve"> </w:t>
      </w:r>
    </w:p>
    <w:p>
      <w:pPr>
        <w:pStyle w:val="Normal"/>
        <w:spacing w:lineRule="auto" w:line="240" w:before="0" w:after="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ListParagraph"/>
        <w:numPr>
          <w:ilvl w:val="0"/>
          <w:numId w:val="8"/>
        </w:numPr>
        <w:spacing w:lineRule="auto" w:line="240" w:before="0" w:after="0"/>
        <w:contextualSpacing/>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t>Līguma priekšmets</w:t>
      </w:r>
    </w:p>
    <w:p>
      <w:pPr>
        <w:pStyle w:val="Normal"/>
        <w:spacing w:lineRule="auto" w:line="240" w:before="0" w:after="0"/>
        <w:jc w:val="center"/>
        <w:rPr>
          <w:rFonts w:ascii="Times New Roman" w:hAnsi="Times New Roman" w:eastAsia="Times New Roman" w:cs="Times New Roman"/>
          <w:b/>
          <w:b/>
          <w:sz w:val="24"/>
          <w:szCs w:val="24"/>
          <w:lang w:eastAsia="lv-LV"/>
        </w:rPr>
      </w:pPr>
      <w:r>
        <w:rPr>
          <w:rFonts w:eastAsia="Times New Roman" w:cs="Times New Roman" w:ascii="Times New Roman" w:hAnsi="Times New Roman"/>
          <w:b/>
          <w:sz w:val="24"/>
          <w:szCs w:val="24"/>
          <w:lang w:eastAsia="lv-LV"/>
        </w:rPr>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lang w:val="de-DE"/>
        </w:rPr>
        <w:t xml:space="preserve">1.1. Pārdevējs pārdod </w:t>
      </w:r>
      <w:r>
        <w:rPr>
          <w:rFonts w:cs="Times New Roman" w:ascii="Times New Roman" w:hAnsi="Times New Roman"/>
          <w:sz w:val="24"/>
          <w:szCs w:val="24"/>
        </w:rPr>
        <w:t xml:space="preserve">un Pircējs </w:t>
      </w:r>
      <w:r>
        <w:rPr>
          <w:rFonts w:cs="Times New Roman" w:ascii="Times New Roman" w:hAnsi="Times New Roman"/>
          <w:bCs/>
          <w:sz w:val="24"/>
          <w:szCs w:val="24"/>
        </w:rPr>
        <w:t xml:space="preserve">vairumā pērk transporta dīzeļdegvielu (turpmāk tekstā Degviela) </w:t>
      </w:r>
      <w:r>
        <w:rPr>
          <w:rFonts w:cs="Times New Roman" w:ascii="Times New Roman" w:hAnsi="Times New Roman"/>
          <w:sz w:val="24"/>
          <w:szCs w:val="24"/>
        </w:rPr>
        <w:t>atbilstoši Nolikuma un Tehniskās specifikācijas (Līguma 2.pielikums) noteiktajām prasībām.</w:t>
      </w:r>
    </w:p>
    <w:p>
      <w:pPr>
        <w:pStyle w:val="Normal"/>
        <w:spacing w:lineRule="auto" w:line="240" w:before="0" w:after="0"/>
        <w:jc w:val="both"/>
        <w:rPr>
          <w:rFonts w:ascii="Times New Roman" w:hAnsi="Times New Roman" w:cs="Times New Roman"/>
          <w:color w:val="FF0000"/>
          <w:sz w:val="24"/>
          <w:szCs w:val="24"/>
          <w:u w:val="single"/>
        </w:rPr>
      </w:pPr>
      <w:r>
        <w:rPr>
          <w:rFonts w:cs="Times New Roman" w:ascii="Times New Roman" w:hAnsi="Times New Roman"/>
          <w:sz w:val="24"/>
          <w:szCs w:val="24"/>
        </w:rPr>
        <w:t>1.2. Pārdevējs ar savu transportu piegādā Degvielu adresē: „Sudrabi”, Rucava, Rucavas pagasts, Rucavas novads, pēc Pircēja pieprasījuma, 3 (trīs) darba dienu laikā.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r>
        <w:rPr>
          <w:rFonts w:cs="Times New Roman" w:ascii="Times New Roman" w:hAnsi="Times New Roman"/>
          <w:color w:val="000000"/>
          <w:sz w:val="24"/>
          <w:szCs w:val="24"/>
        </w:rPr>
        <w:t xml:space="preserve"> K</w:t>
      </w:r>
      <w:r>
        <w:rPr>
          <w:rFonts w:cs="Times New Roman" w:ascii="Times New Roman" w:hAnsi="Times New Roman"/>
          <w:color w:val="000000"/>
          <w:sz w:val="24"/>
          <w:szCs w:val="24"/>
          <w:lang w:val="de-DE"/>
        </w:rPr>
        <w:t xml:space="preserve">onkrēto Degvielas daudzumu pēc apstākļiem, vajadzības un finanšu iespējām noteiks Pircējs Līguma darbības laikā, nepārsniedzot noteikto </w:t>
      </w:r>
      <w:r>
        <w:rPr>
          <w:rFonts w:cs="Times New Roman" w:ascii="Times New Roman" w:hAnsi="Times New Roman"/>
          <w:sz w:val="24"/>
          <w:szCs w:val="24"/>
          <w:lang w:val="de-DE"/>
        </w:rPr>
        <w:t>Līguma summu.</w:t>
      </w:r>
    </w:p>
    <w:p>
      <w:pPr>
        <w:pStyle w:val="Pamatteksts"/>
        <w:spacing w:lineRule="auto" w:line="240" w:before="0" w:after="0"/>
        <w:rPr>
          <w:b/>
          <w:b/>
          <w:bCs/>
        </w:rPr>
      </w:pPr>
      <w:r>
        <w:rPr>
          <w:b/>
          <w:bCs/>
        </w:rPr>
      </w:r>
    </w:p>
    <w:p>
      <w:pPr>
        <w:pStyle w:val="Pamatteksts"/>
        <w:spacing w:lineRule="auto" w:line="240" w:before="0" w:after="0"/>
        <w:rPr>
          <w:b/>
          <w:b/>
          <w:bCs/>
          <w:sz w:val="24"/>
          <w:szCs w:val="24"/>
        </w:rPr>
      </w:pPr>
      <w:r>
        <w:rPr>
          <w:b/>
          <w:bCs/>
          <w:sz w:val="24"/>
          <w:szCs w:val="24"/>
        </w:rPr>
        <w:t>2. Līguma izpildes termiņš</w:t>
      </w:r>
    </w:p>
    <w:p>
      <w:pPr>
        <w:pStyle w:val="Pamatteksts"/>
        <w:spacing w:lineRule="auto" w:line="240" w:before="0" w:after="0"/>
        <w:rPr>
          <w:rFonts w:ascii="Times New Roman" w:hAnsi="Times New Roman"/>
          <w:b/>
          <w:b/>
          <w:bCs/>
          <w:sz w:val="24"/>
          <w:szCs w:val="24"/>
        </w:rPr>
      </w:pPr>
      <w:r>
        <w:rPr>
          <w:b/>
          <w:bCs/>
          <w:sz w:val="24"/>
          <w:szCs w:val="24"/>
        </w:rPr>
      </w:r>
    </w:p>
    <w:p>
      <w:pPr>
        <w:pStyle w:val="Pamatteksts"/>
        <w:numPr>
          <w:ilvl w:val="1"/>
          <w:numId w:val="10"/>
        </w:numPr>
        <w:spacing w:lineRule="auto" w:line="240" w:before="0" w:after="0"/>
        <w:jc w:val="both"/>
        <w:rPr>
          <w:rFonts w:ascii="Times New Roman" w:hAnsi="Times New Roman"/>
          <w:sz w:val="24"/>
          <w:szCs w:val="24"/>
        </w:rPr>
      </w:pPr>
      <w:r>
        <w:rPr>
          <w:sz w:val="24"/>
          <w:szCs w:val="24"/>
        </w:rPr>
        <w:t>Līgums stājas spēkā no tā parakstīšanas brīža un ir spēkā 12 (divpadsmit) mēnešus no Līguma parakstīšanas vai līdz Līguma 3.1. punktā minētās Līguma summas sasniegšanai, atkarībā no tā, kurš no apstākļiem iestājas ātrāk.</w:t>
      </w:r>
    </w:p>
    <w:p>
      <w:pPr>
        <w:pStyle w:val="Pamatteksts"/>
        <w:numPr>
          <w:ilvl w:val="1"/>
          <w:numId w:val="10"/>
        </w:numPr>
        <w:spacing w:lineRule="auto" w:line="240" w:before="0" w:after="0"/>
        <w:jc w:val="both"/>
        <w:rPr>
          <w:sz w:val="24"/>
          <w:szCs w:val="24"/>
        </w:rPr>
      </w:pPr>
      <w:r>
        <w:rPr>
          <w:sz w:val="24"/>
          <w:szCs w:val="24"/>
        </w:rPr>
        <w:t>Līguma attiecības atzīstamas par pabeigtām tikai pēc tam, kad Puses ir izpildījušas savstarpējās saistības un norēķinus, kas izriet no šā līguma noteikumiem.</w:t>
      </w:r>
    </w:p>
    <w:p>
      <w:pPr>
        <w:pStyle w:val="Pamatteksts"/>
        <w:spacing w:lineRule="auto" w:line="240" w:before="0" w:after="0"/>
        <w:jc w:val="both"/>
        <w:rPr>
          <w:rFonts w:ascii="Times New Roman" w:hAnsi="Times New Roman"/>
          <w:b/>
          <w:b/>
          <w:bCs/>
          <w:sz w:val="24"/>
          <w:szCs w:val="24"/>
        </w:rPr>
      </w:pPr>
      <w:r>
        <w:rPr>
          <w:b/>
          <w:bCs/>
          <w:sz w:val="24"/>
          <w:szCs w:val="24"/>
        </w:rPr>
      </w:r>
    </w:p>
    <w:p>
      <w:pPr>
        <w:pStyle w:val="ListParagraph"/>
        <w:numPr>
          <w:ilvl w:val="0"/>
          <w:numId w:val="10"/>
        </w:numPr>
        <w:tabs>
          <w:tab w:val="clear" w:pos="720"/>
          <w:tab w:val="left" w:pos="0" w:leader="none"/>
        </w:tabs>
        <w:suppressAutoHyphens w:val="true"/>
        <w:spacing w:lineRule="auto" w:line="240" w:before="0" w:after="0"/>
        <w:contextualSpacing/>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Līguma summa un norēķinu kārtība</w:t>
      </w:r>
    </w:p>
    <w:p>
      <w:pPr>
        <w:pStyle w:val="ListParagraph"/>
        <w:tabs>
          <w:tab w:val="clear" w:pos="720"/>
          <w:tab w:val="left" w:pos="0" w:leader="none"/>
        </w:tabs>
        <w:suppressAutoHyphens w:val="true"/>
        <w:spacing w:lineRule="auto" w:line="240" w:before="0" w:after="0"/>
        <w:ind w:left="360" w:hanging="0"/>
        <w:contextualSpacing/>
        <w:rPr>
          <w:rFonts w:ascii="Times New Roman" w:hAnsi="Times New Roman" w:eastAsia="Times New Roman" w:cs="Times New Roman"/>
          <w:b/>
          <w:b/>
          <w:sz w:val="24"/>
          <w:szCs w:val="24"/>
          <w:lang w:eastAsia="ar-SA"/>
        </w:rPr>
      </w:pPr>
      <w:r>
        <w:rPr>
          <w:rFonts w:ascii="Times New Roman" w:hAnsi="Times New Roman"/>
          <w:sz w:val="24"/>
          <w:szCs w:val="24"/>
        </w:rPr>
        <w:t xml:space="preserve"> </w:t>
      </w:r>
    </w:p>
    <w:p>
      <w:pPr>
        <w:pStyle w:val="ListParagraph"/>
        <w:numPr>
          <w:ilvl w:val="1"/>
          <w:numId w:val="10"/>
        </w:numPr>
        <w:spacing w:lineRule="auto" w:line="240" w:before="0" w:after="0"/>
        <w:contextualSpacing/>
        <w:jc w:val="both"/>
        <w:rPr>
          <w:rFonts w:ascii="Times New Roman" w:hAnsi="Times New Roman"/>
          <w:sz w:val="24"/>
          <w:szCs w:val="24"/>
        </w:rPr>
      </w:pPr>
      <w:r>
        <w:rPr>
          <w:rFonts w:cs="Times New Roman" w:ascii="Times New Roman" w:hAnsi="Times New Roman"/>
          <w:sz w:val="24"/>
          <w:szCs w:val="24"/>
        </w:rPr>
        <w:t xml:space="preserve">Maksimālā Līguma summa, par kādu Pircējs var uzdot Pārdevējam veikt Degvielas piegādi ir </w:t>
      </w:r>
      <w:r>
        <w:rPr>
          <w:rFonts w:cs="Times New Roman" w:ascii="Times New Roman" w:hAnsi="Times New Roman"/>
          <w:b/>
          <w:sz w:val="24"/>
          <w:szCs w:val="24"/>
        </w:rPr>
        <w:t>22000,00 EUR</w:t>
      </w:r>
      <w:r>
        <w:rPr>
          <w:rFonts w:cs="Times New Roman" w:ascii="Times New Roman" w:hAnsi="Times New Roman"/>
          <w:sz w:val="24"/>
          <w:szCs w:val="24"/>
        </w:rPr>
        <w:t xml:space="preserve"> (divdesmit divi tūkstoši euro 00 euro centi), bez PVN.</w:t>
      </w:r>
    </w:p>
    <w:p>
      <w:pPr>
        <w:pStyle w:val="ListParagraph"/>
        <w:numPr>
          <w:ilvl w:val="1"/>
          <w:numId w:val="10"/>
        </w:numPr>
        <w:tabs>
          <w:tab w:val="left" w:pos="720" w:leader="none"/>
        </w:tabs>
        <w:spacing w:lineRule="auto" w:line="240" w:before="0" w:after="0"/>
        <w:contextualSpacing/>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Degvielas cenu Pārdevējs nosaka saskaņā ar Pārdevēja Degvielas vairumtirdzniecības cenu konkrētā Pircēja pirkuma izdarīšanas dienā.</w:t>
      </w:r>
    </w:p>
    <w:p>
      <w:pPr>
        <w:pStyle w:val="ListParagraph"/>
        <w:numPr>
          <w:ilvl w:val="1"/>
          <w:numId w:val="10"/>
        </w:numPr>
        <w:tabs>
          <w:tab w:val="left" w:pos="720" w:leader="none"/>
        </w:tabs>
        <w:spacing w:lineRule="auto" w:line="240" w:before="0" w:after="0"/>
        <w:contextualSpacing/>
        <w:jc w:val="both"/>
        <w:rPr>
          <w:rFonts w:ascii="Times New Roman" w:hAnsi="Times New Roman" w:eastAsia="Calibri" w:cs="Times New Roman"/>
          <w:bCs/>
          <w:sz w:val="24"/>
          <w:szCs w:val="24"/>
        </w:rPr>
      </w:pPr>
      <w:r>
        <w:rPr>
          <w:rFonts w:eastAsia="Calibri" w:cs="Times New Roman" w:ascii="Times New Roman" w:hAnsi="Times New Roman"/>
          <w:bCs/>
          <w:sz w:val="24"/>
          <w:szCs w:val="24"/>
        </w:rPr>
        <w:t>Degvielas vairumtirdzniecības cenā ietilpst visas izmaksas un izdevumi, kas saistās ar šī Līguma izpildi, tajā skaitā degvielas cena, tās piegāde uz Līgumā norādīto vietu, nepieciešamie palīgmateriāli, darbaspēka izmaksas, transporta izmaksas, kā arī citi ar Līguma izpildi saistītie izdevumi, nodokļi, nodevas u.c. maksājumi.</w:t>
      </w:r>
    </w:p>
    <w:p>
      <w:pPr>
        <w:pStyle w:val="ListParagraph"/>
        <w:numPr>
          <w:ilvl w:val="1"/>
          <w:numId w:val="10"/>
        </w:numPr>
        <w:tabs>
          <w:tab w:val="left" w:pos="720" w:leader="none"/>
        </w:tabs>
        <w:spacing w:lineRule="auto" w:line="240" w:before="0" w:after="0"/>
        <w:contextualSpacing/>
        <w:jc w:val="both"/>
        <w:rPr>
          <w:rFonts w:ascii="Times New Roman" w:hAnsi="Times New Roman"/>
          <w:sz w:val="24"/>
          <w:szCs w:val="24"/>
        </w:rPr>
      </w:pPr>
      <w:r>
        <w:rPr>
          <w:rFonts w:eastAsia="Calibri" w:cs="Times New Roman" w:ascii="Times New Roman" w:hAnsi="Times New Roman"/>
          <w:sz w:val="24"/>
          <w:szCs w:val="24"/>
        </w:rPr>
        <w:t>Pārdevējs nosaka patstāvīgu atlaidi Pircējam pārdotajai Degvielai saskaņā ar šo Līgumu un Finanšu piedāvājumā (Līguma 1.pielikums) norādīto, visu šā Līguma darbības laiku:</w:t>
      </w:r>
      <w:r>
        <w:rPr>
          <w:rFonts w:eastAsia="Calibri" w:cs="Times New Roman" w:ascii="Times New Roman" w:hAnsi="Times New Roman"/>
          <w:bCs/>
          <w:sz w:val="24"/>
          <w:szCs w:val="24"/>
        </w:rPr>
        <w:t xml:space="preserve"> ______EUR/1litrs.</w:t>
      </w:r>
    </w:p>
    <w:p>
      <w:pPr>
        <w:pStyle w:val="ListParagraph"/>
        <w:numPr>
          <w:ilvl w:val="1"/>
          <w:numId w:val="10"/>
        </w:numPr>
        <w:tabs>
          <w:tab w:val="left" w:pos="720" w:leader="none"/>
        </w:tabs>
        <w:spacing w:lineRule="auto" w:line="240" w:before="0" w:after="0"/>
        <w:contextualSpacing/>
        <w:jc w:val="both"/>
        <w:rPr>
          <w:rFonts w:ascii="Times New Roman" w:hAnsi="Times New Roman" w:cs="Times New Roman"/>
          <w:sz w:val="24"/>
          <w:szCs w:val="24"/>
          <w:lang w:val="de-DE"/>
        </w:rPr>
      </w:pPr>
      <w:r>
        <w:rPr>
          <w:rFonts w:eastAsia="Calibri" w:cs="Times New Roman" w:ascii="Times New Roman" w:hAnsi="Times New Roman"/>
          <w:bCs/>
          <w:sz w:val="24"/>
          <w:szCs w:val="24"/>
        </w:rPr>
        <w:t xml:space="preserve"> </w:t>
      </w:r>
      <w:r>
        <w:rPr>
          <w:rFonts w:cs="Times New Roman" w:ascii="Times New Roman" w:hAnsi="Times New Roman"/>
          <w:sz w:val="24"/>
          <w:szCs w:val="24"/>
          <w:lang w:val="de-DE"/>
        </w:rPr>
        <w:t xml:space="preserve">Norēķini par Degvielas piegādi tiek veikti ar pēcapmaksu, atbilstoši Pārdevēja izrakstītajai un iesniegtajai pavadzīmei – rēķinam.    </w:t>
      </w:r>
    </w:p>
    <w:p>
      <w:pPr>
        <w:pStyle w:val="ListParagraph"/>
        <w:numPr>
          <w:ilvl w:val="1"/>
          <w:numId w:val="10"/>
        </w:numPr>
        <w:spacing w:lineRule="auto" w:line="240" w:before="0" w:after="0"/>
        <w:contextualSpacing/>
        <w:jc w:val="both"/>
        <w:rPr>
          <w:rFonts w:ascii="Times New Roman" w:hAnsi="Times New Roman" w:cs="Times New Roman"/>
          <w:sz w:val="24"/>
          <w:szCs w:val="24"/>
          <w:lang w:val="de-DE"/>
        </w:rPr>
      </w:pPr>
      <w:r>
        <w:rPr>
          <w:rFonts w:cs="Times New Roman" w:ascii="Times New Roman" w:hAnsi="Times New Roman"/>
          <w:sz w:val="24"/>
          <w:szCs w:val="24"/>
          <w:lang w:val="de-DE"/>
        </w:rPr>
        <w:t xml:space="preserve">PVN likme tiek piemērota spēkā esošajos normatīvajos aktos noteiktajā kārtībā un apmērā Degvielas piegādes dienā. Izrakstot pavadzīmi – rēķinu, Pārdevējs norāda PVN likmi. </w:t>
      </w:r>
    </w:p>
    <w:p>
      <w:pPr>
        <w:pStyle w:val="ListParagraph"/>
        <w:numPr>
          <w:ilvl w:val="1"/>
          <w:numId w:val="10"/>
        </w:numPr>
        <w:suppressAutoHyphens w:val="true"/>
        <w:spacing w:lineRule="auto" w:line="240"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bCs/>
          <w:sz w:val="24"/>
          <w:szCs w:val="24"/>
          <w:lang w:eastAsia="ar-SA"/>
        </w:rPr>
        <w:t xml:space="preserve">Pircējs </w:t>
      </w:r>
      <w:r>
        <w:rPr>
          <w:rFonts w:eastAsia="Times New Roman" w:cs="Times New Roman" w:ascii="Times New Roman" w:hAnsi="Times New Roman"/>
          <w:sz w:val="24"/>
          <w:szCs w:val="24"/>
          <w:lang w:eastAsia="ar-SA"/>
        </w:rPr>
        <w:t xml:space="preserve">samaksā </w:t>
      </w:r>
      <w:r>
        <w:rPr>
          <w:rFonts w:eastAsia="Times New Roman" w:cs="Times New Roman" w:ascii="Times New Roman" w:hAnsi="Times New Roman"/>
          <w:bCs/>
          <w:sz w:val="24"/>
          <w:szCs w:val="24"/>
          <w:lang w:eastAsia="ar-SA"/>
        </w:rPr>
        <w:t>Pārdevējam</w:t>
      </w:r>
      <w:r>
        <w:rPr>
          <w:rFonts w:eastAsia="Times New Roman" w:cs="Times New Roman" w:ascii="Times New Roman" w:hAnsi="Times New Roman"/>
          <w:sz w:val="24"/>
          <w:szCs w:val="24"/>
          <w:lang w:eastAsia="ar-SA"/>
        </w:rPr>
        <w:t xml:space="preserve"> par veikto Degvielas piegādi 15 (piecpadsmit) darba dienu laikā pēc attiecīgas pavadzīmes - rēķina saņemšanas dienas, veicot pārskaitījumu uz Pārdevēja norādīto bankas kontu.</w:t>
      </w:r>
    </w:p>
    <w:p>
      <w:pPr>
        <w:pStyle w:val="ListParagraph"/>
        <w:numPr>
          <w:ilvl w:val="1"/>
          <w:numId w:val="10"/>
        </w:numPr>
        <w:suppressAutoHyphens w:val="true"/>
        <w:spacing w:lineRule="auto" w:line="240"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Pircējs veic samaksu Pārdevējam par faktiski saņemto Degvielu, kas piegādāta atbilstošā kvalitātē saskaņā ar šī Līguma nosacījumiem.  </w:t>
      </w:r>
    </w:p>
    <w:p>
      <w:pPr>
        <w:pStyle w:val="ListParagraph"/>
        <w:numPr>
          <w:ilvl w:val="1"/>
          <w:numId w:val="10"/>
        </w:numPr>
        <w:spacing w:lineRule="auto" w:line="240" w:before="0" w:after="0"/>
        <w:contextualSpacing/>
        <w:jc w:val="both"/>
        <w:rPr>
          <w:rFonts w:ascii="Times New Roman" w:hAnsi="Times New Roman" w:cs="Times New Roman"/>
          <w:sz w:val="24"/>
          <w:szCs w:val="24"/>
          <w:lang w:eastAsia="x-none"/>
        </w:rPr>
      </w:pPr>
      <w:r>
        <w:rPr>
          <w:rFonts w:cs="Times New Roman" w:ascii="Times New Roman" w:hAnsi="Times New Roman"/>
          <w:sz w:val="24"/>
          <w:szCs w:val="24"/>
          <w:lang w:eastAsia="x-none"/>
        </w:rPr>
        <w:t>Pircējs patur tiesības pārtraukt Degvielas piegādes veikšanu, nesasniedzot Līguma 3.1.punktā noteikto Līguma summu, ņemot vērā konkrētās Pircēja finanšu iespējas.</w:t>
      </w:r>
    </w:p>
    <w:p>
      <w:pPr>
        <w:pStyle w:val="Pamatteksts"/>
        <w:spacing w:lineRule="auto" w:line="240" w:before="0" w:after="0"/>
        <w:ind w:left="360" w:hanging="0"/>
        <w:jc w:val="left"/>
        <w:rPr>
          <w:rFonts w:ascii="Times New Roman" w:hAnsi="Times New Roman"/>
          <w:sz w:val="24"/>
          <w:szCs w:val="24"/>
        </w:rPr>
      </w:pPr>
      <w:r>
        <w:rPr>
          <w:b/>
          <w:bCs/>
          <w:sz w:val="24"/>
          <w:szCs w:val="24"/>
        </w:rPr>
        <w:t xml:space="preserve"> </w:t>
      </w:r>
      <w:r>
        <w:rPr>
          <w:b/>
          <w:bCs/>
          <w:sz w:val="24"/>
          <w:szCs w:val="24"/>
        </w:rPr>
        <w:tab/>
        <w:tab/>
        <w:tab/>
        <w:t xml:space="preserve"> </w:t>
      </w:r>
    </w:p>
    <w:p>
      <w:pPr>
        <w:pStyle w:val="Pamatteksts"/>
        <w:spacing w:lineRule="auto" w:line="240" w:before="0" w:after="0"/>
        <w:ind w:left="360" w:hanging="0"/>
        <w:jc w:val="center"/>
        <w:rPr>
          <w:rFonts w:ascii="Times New Roman" w:hAnsi="Times New Roman"/>
          <w:sz w:val="24"/>
          <w:szCs w:val="24"/>
        </w:rPr>
      </w:pPr>
      <w:r>
        <w:rPr>
          <w:b/>
          <w:bCs/>
          <w:sz w:val="24"/>
          <w:szCs w:val="24"/>
        </w:rPr>
        <w:t>4. Pušu pienākumi un tiesības</w:t>
      </w:r>
    </w:p>
    <w:p>
      <w:pPr>
        <w:pStyle w:val="Pamatteksts"/>
        <w:spacing w:lineRule="auto" w:line="240" w:before="0" w:after="0"/>
        <w:ind w:left="360" w:hanging="0"/>
        <w:jc w:val="center"/>
        <w:rPr>
          <w:b/>
          <w:b/>
          <w:bCs/>
        </w:rPr>
      </w:pPr>
      <w:r>
        <w:rPr>
          <w:b/>
          <w:bCs/>
        </w:rPr>
      </w:r>
    </w:p>
    <w:p>
      <w:pPr>
        <w:pStyle w:val="Pamatteksts"/>
        <w:spacing w:lineRule="auto" w:line="240" w:before="0" w:after="0"/>
        <w:jc w:val="left"/>
        <w:rPr>
          <w:sz w:val="24"/>
          <w:szCs w:val="24"/>
          <w:u w:val="single"/>
        </w:rPr>
      </w:pPr>
      <w:r>
        <w:rPr>
          <w:sz w:val="24"/>
          <w:szCs w:val="24"/>
          <w:u w:val="single"/>
        </w:rPr>
        <w:t>4.1. Pircēja pienākumi un tiesības:</w:t>
      </w:r>
    </w:p>
    <w:p>
      <w:pPr>
        <w:pStyle w:val="Pamatteksts"/>
        <w:spacing w:lineRule="auto" w:line="240" w:before="0" w:after="0"/>
        <w:ind w:firstLine="720"/>
        <w:jc w:val="left"/>
        <w:rPr>
          <w:sz w:val="24"/>
          <w:szCs w:val="24"/>
        </w:rPr>
      </w:pPr>
      <w:r>
        <w:rPr>
          <w:sz w:val="24"/>
          <w:szCs w:val="24"/>
        </w:rPr>
        <w:t>4.1.1. ievērot Līguma noteikumus;</w:t>
      </w:r>
    </w:p>
    <w:p>
      <w:pPr>
        <w:pStyle w:val="Pamatteksts"/>
        <w:spacing w:lineRule="auto" w:line="240" w:before="0" w:after="0"/>
        <w:ind w:firstLine="720"/>
        <w:jc w:val="left"/>
        <w:rPr>
          <w:sz w:val="24"/>
          <w:szCs w:val="24"/>
        </w:rPr>
      </w:pPr>
      <w:r>
        <w:rPr>
          <w:sz w:val="24"/>
          <w:szCs w:val="24"/>
        </w:rPr>
        <w:t>4.1.2. veikt samaksu Līgumā noteiktajā kārtībā un apmērā;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u w:val="single"/>
        </w:rPr>
        <w:t>4.2. Pārdevēja pienākumi un tiesības:</w:t>
      </w:r>
    </w:p>
    <w:p>
      <w:pPr>
        <w:pStyle w:val="Pamatteksts"/>
        <w:numPr>
          <w:ilvl w:val="2"/>
          <w:numId w:val="14"/>
        </w:numPr>
        <w:spacing w:lineRule="auto" w:line="240" w:before="0" w:after="0"/>
        <w:jc w:val="both"/>
        <w:rPr>
          <w:sz w:val="24"/>
          <w:szCs w:val="24"/>
        </w:rPr>
      </w:pPr>
      <w:r>
        <w:rPr>
          <w:sz w:val="24"/>
          <w:szCs w:val="24"/>
        </w:rPr>
        <w:t>ievērot iepirkuma nolikuma, Līguma noteikumus un citas prasības, par kurām Puses vienojušās;</w:t>
      </w:r>
    </w:p>
    <w:p>
      <w:pPr>
        <w:pStyle w:val="Pamatteksts"/>
        <w:numPr>
          <w:ilvl w:val="2"/>
          <w:numId w:val="14"/>
        </w:numPr>
        <w:spacing w:lineRule="auto" w:line="240" w:before="0" w:after="0"/>
        <w:jc w:val="both"/>
        <w:rPr>
          <w:sz w:val="24"/>
          <w:szCs w:val="24"/>
        </w:rPr>
      </w:pPr>
      <w:r>
        <w:rPr>
          <w:sz w:val="24"/>
          <w:szCs w:val="24"/>
        </w:rPr>
        <w:t>nodrošināt Līguma 1.2. punktā norādītās Degvielas piegādi Pircēja adresē ne vēlāk kā 3 (trīs) darba dienu laikā no Pasūtījuma veikšanas;</w:t>
      </w:r>
    </w:p>
    <w:p>
      <w:pPr>
        <w:pStyle w:val="ListParagraph"/>
        <w:numPr>
          <w:ilvl w:val="2"/>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nodrošināt ziemas sezonā dīzeļdegvielas aukstumnoturību līdz -32</w:t>
      </w:r>
      <w:r>
        <w:rPr>
          <w:rFonts w:cs="Times New Roman" w:ascii="Times New Roman" w:hAnsi="Times New Roman"/>
          <w:sz w:val="24"/>
          <w:szCs w:val="24"/>
          <w:vertAlign w:val="superscript"/>
        </w:rPr>
        <w:t>0</w:t>
      </w:r>
      <w:r>
        <w:rPr>
          <w:rFonts w:cs="Times New Roman" w:ascii="Times New Roman" w:hAnsi="Times New Roman"/>
          <w:sz w:val="24"/>
          <w:szCs w:val="24"/>
        </w:rPr>
        <w:t>C temperatūrai;</w:t>
      </w:r>
    </w:p>
    <w:p>
      <w:pPr>
        <w:pStyle w:val="ListParagraph"/>
        <w:numPr>
          <w:ilvl w:val="2"/>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nekavējoties, bet ne vēlāk kā 20 (divdesmit) dienu laikā segt zaudējums par nekvalitatīvas Degvielas radītajām sekām, ja, atbilstoši 5.6. punktam veikta</w:t>
      </w:r>
      <w:r>
        <w:rPr>
          <w:rFonts w:cs="Times New Roman" w:ascii="Times New Roman" w:hAnsi="Times New Roman"/>
          <w:sz w:val="24"/>
          <w:szCs w:val="24"/>
          <w:lang w:val="x-none" w:eastAsia="x-none"/>
        </w:rPr>
        <w:t xml:space="preserve"> neatkarīg</w:t>
      </w:r>
      <w:r>
        <w:rPr>
          <w:rFonts w:cs="Times New Roman" w:ascii="Times New Roman" w:hAnsi="Times New Roman"/>
          <w:sz w:val="24"/>
          <w:szCs w:val="24"/>
          <w:lang w:eastAsia="x-none"/>
        </w:rPr>
        <w:t>ā</w:t>
      </w:r>
      <w:r>
        <w:rPr>
          <w:rFonts w:cs="Times New Roman" w:ascii="Times New Roman" w:hAnsi="Times New Roman"/>
          <w:sz w:val="24"/>
          <w:szCs w:val="24"/>
          <w:lang w:val="x-none" w:eastAsia="x-none"/>
        </w:rPr>
        <w:t xml:space="preserve"> ekspertīze</w:t>
      </w:r>
      <w:r>
        <w:rPr>
          <w:rFonts w:cs="Times New Roman" w:ascii="Times New Roman" w:hAnsi="Times New Roman"/>
          <w:sz w:val="24"/>
          <w:szCs w:val="24"/>
          <w:lang w:eastAsia="x-none"/>
        </w:rPr>
        <w:t xml:space="preserve"> un izsniegts Pārdevējam</w:t>
      </w:r>
      <w:r>
        <w:rPr>
          <w:rFonts w:cs="Times New Roman" w:ascii="Times New Roman" w:hAnsi="Times New Roman"/>
          <w:sz w:val="24"/>
          <w:szCs w:val="24"/>
          <w:lang w:val="x-none" w:eastAsia="x-none"/>
        </w:rPr>
        <w:t xml:space="preserve"> nelabvēlīg</w:t>
      </w:r>
      <w:r>
        <w:rPr>
          <w:rFonts w:cs="Times New Roman" w:ascii="Times New Roman" w:hAnsi="Times New Roman"/>
          <w:sz w:val="24"/>
          <w:szCs w:val="24"/>
          <w:lang w:eastAsia="x-none"/>
        </w:rPr>
        <w:t>s</w:t>
      </w:r>
      <w:r>
        <w:rPr>
          <w:rFonts w:cs="Times New Roman" w:ascii="Times New Roman" w:hAnsi="Times New Roman"/>
          <w:sz w:val="24"/>
          <w:szCs w:val="24"/>
          <w:lang w:val="x-none" w:eastAsia="x-none"/>
        </w:rPr>
        <w:t xml:space="preserve"> slēdzien</w:t>
      </w:r>
      <w:r>
        <w:rPr>
          <w:rFonts w:cs="Times New Roman" w:ascii="Times New Roman" w:hAnsi="Times New Roman"/>
          <w:sz w:val="24"/>
          <w:szCs w:val="24"/>
          <w:lang w:eastAsia="x-none"/>
        </w:rPr>
        <w:t>s</w:t>
      </w:r>
      <w:r>
        <w:rPr>
          <w:rFonts w:cs="Times New Roman" w:ascii="Times New Roman" w:hAnsi="Times New Roman"/>
          <w:sz w:val="24"/>
          <w:szCs w:val="24"/>
          <w:lang w:val="x-none" w:eastAsia="x-none"/>
        </w:rPr>
        <w:t>.</w:t>
      </w:r>
    </w:p>
    <w:p>
      <w:pPr>
        <w:pStyle w:val="ListParagraph"/>
        <w:numPr>
          <w:ilvl w:val="2"/>
          <w:numId w:val="14"/>
        </w:numPr>
        <w:suppressAutoHyphens w:val="true"/>
        <w:spacing w:lineRule="auto" w:line="240" w:before="0" w:after="0"/>
        <w:ind w:left="709" w:hanging="709"/>
        <w:contextualSpacing/>
        <w:jc w:val="both"/>
        <w:rPr>
          <w:rFonts w:ascii="Times New Roman" w:hAnsi="Times New Roman" w:cs="Times New Roman"/>
          <w:sz w:val="24"/>
          <w:szCs w:val="24"/>
        </w:rPr>
      </w:pPr>
      <w:r>
        <w:rPr>
          <w:rFonts w:cs="Times New Roman" w:ascii="Times New Roman" w:hAnsi="Times New Roman"/>
          <w:sz w:val="24"/>
          <w:szCs w:val="24"/>
        </w:rPr>
        <w:t>saņemt samaksu saskaņā ar Līguma nosacījumiem.</w:t>
      </w:r>
    </w:p>
    <w:p>
      <w:pPr>
        <w:pStyle w:val="ListParagraph"/>
        <w:numPr>
          <w:ilvl w:val="2"/>
          <w:numId w:val="14"/>
        </w:numPr>
        <w:suppressAutoHyphens w:val="true"/>
        <w:spacing w:lineRule="auto" w:line="240" w:before="0" w:after="0"/>
        <w:ind w:left="709" w:hanging="709"/>
        <w:contextualSpacing/>
        <w:jc w:val="both"/>
        <w:rPr>
          <w:rFonts w:ascii="Times New Roman" w:hAnsi="Times New Roman" w:cs="Times New Roman"/>
          <w:sz w:val="24"/>
          <w:szCs w:val="24"/>
        </w:rPr>
      </w:pPr>
      <w:r>
        <w:rPr>
          <w:rFonts w:cs="Times New Roman" w:ascii="Times New Roman" w:hAnsi="Times New Roman"/>
          <w:sz w:val="24"/>
          <w:szCs w:val="24"/>
        </w:rPr>
        <w:t>Ja Pārdevējs Degvielas piegādes veikšanai piesaista apakšuzņēmējus, tad Pārdevējs ir atbildīgs par piesaistītā personāla un apakšuzņēmēju veiktā darba atbilstību šī Līguma prasībām.</w:t>
      </w:r>
    </w:p>
    <w:p>
      <w:pPr>
        <w:pStyle w:val="Normal"/>
        <w:spacing w:lineRule="auto" w:line="240" w:before="0" w:after="0"/>
        <w:jc w:val="center"/>
        <w:rPr>
          <w:rFonts w:cs="Times New Roman"/>
          <w:b/>
          <w:b/>
          <w:bCs/>
        </w:rPr>
      </w:pPr>
      <w:r>
        <w:rPr>
          <w:rFonts w:cs="Times New Roman"/>
          <w:b/>
          <w:bCs/>
        </w:rPr>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5. Degvielas kvalitāte un garantija</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1"/>
          <w:numId w:val="1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Degvielai, kas tiek pārdota saskaņā ar Līguma noteikumiem, jābūt augstas kvalitātes, atbilstošai Latvijas valsts standartiem un Ministru kabineta 2000.gada 26.septembra noteikumu Nr.332„Noteikumi par benzīna un dīzeļdegvielas atbilstības novērtēšanu” prasībām.</w:t>
      </w:r>
    </w:p>
    <w:p>
      <w:pPr>
        <w:pStyle w:val="ListParagraph"/>
        <w:numPr>
          <w:ilvl w:val="1"/>
          <w:numId w:val="15"/>
        </w:numPr>
        <w:spacing w:lineRule="auto" w:line="240" w:before="0" w:after="0"/>
        <w:contextualSpacing/>
        <w:jc w:val="both"/>
        <w:rPr>
          <w:rFonts w:ascii="Times New Roman" w:hAnsi="Times New Roman" w:cs="Times New Roman"/>
          <w:sz w:val="24"/>
          <w:szCs w:val="24"/>
          <w:lang w:eastAsia="x-none"/>
        </w:rPr>
      </w:pPr>
      <w:r>
        <w:rPr>
          <w:rFonts w:cs="Times New Roman" w:ascii="Times New Roman" w:hAnsi="Times New Roman"/>
          <w:sz w:val="24"/>
          <w:szCs w:val="24"/>
        </w:rPr>
        <w:t>Vairumā piegādātajai Līguma 1.2. punktā minētajai Degvielai katrai piegādes partijai jābūt pievienotam atbilstības apliecinājumam, atbilstoši Ministru kabineta 2000.gada 26.septembra noteikumiem Nr.332 „Noteikumi par benzīna un dīzeļdegvielas atbilstības novērtēšanu”.</w:t>
      </w:r>
    </w:p>
    <w:p>
      <w:pPr>
        <w:pStyle w:val="ListParagraph"/>
        <w:numPr>
          <w:ilvl w:val="1"/>
          <w:numId w:val="15"/>
        </w:numPr>
        <w:spacing w:lineRule="auto" w:line="240" w:before="0" w:after="0"/>
        <w:contextualSpacing/>
        <w:jc w:val="both"/>
        <w:rPr>
          <w:rFonts w:ascii="Times New Roman" w:hAnsi="Times New Roman" w:cs="Times New Roman"/>
          <w:sz w:val="24"/>
          <w:szCs w:val="24"/>
          <w:lang w:eastAsia="x-none"/>
        </w:rPr>
      </w:pPr>
      <w:r>
        <w:rPr>
          <w:rFonts w:cs="Times New Roman" w:ascii="Times New Roman" w:hAnsi="Times New Roman"/>
          <w:sz w:val="24"/>
          <w:szCs w:val="24"/>
          <w:lang w:val="de-DE"/>
        </w:rPr>
        <w:t xml:space="preserve">Ja Pircējam radušās pamatotas aizdomas par degvielas neatbilstību noteiktajām kvalitātes prasībām, Pircējs ir tiesīgs pieprasīt neatkarīga eksperta (laboratorijas) </w:t>
      </w:r>
      <w:r>
        <w:rPr>
          <w:rFonts w:cs="Times New Roman" w:ascii="Times New Roman" w:hAnsi="Times New Roman"/>
          <w:sz w:val="24"/>
          <w:szCs w:val="24"/>
        </w:rPr>
        <w:t>slēdzienu par degvielas kvalitāti konkrētajai piegādei.</w:t>
      </w:r>
      <w:r>
        <w:rPr>
          <w:rFonts w:eastAsia="Calibri" w:cs="Times New Roman" w:ascii="Times New Roman" w:hAnsi="Times New Roman"/>
          <w:sz w:val="24"/>
          <w:szCs w:val="24"/>
        </w:rPr>
        <w:t xml:space="preserve">  </w:t>
      </w:r>
    </w:p>
    <w:p>
      <w:pPr>
        <w:pStyle w:val="ListParagraph"/>
        <w:numPr>
          <w:ilvl w:val="1"/>
          <w:numId w:val="15"/>
        </w:numPr>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sz w:val="24"/>
          <w:szCs w:val="24"/>
        </w:rPr>
        <w:t>Gadījumā, ja tiek pieaicināti neatkarīgi eksperti, Pušu pārstāvju klātbūtne pie ekspertīzes ir obligāta.</w:t>
      </w:r>
    </w:p>
    <w:p>
      <w:pPr>
        <w:pStyle w:val="ListParagraph"/>
        <w:numPr>
          <w:ilvl w:val="1"/>
          <w:numId w:val="15"/>
        </w:numPr>
        <w:tabs>
          <w:tab w:val="left" w:pos="720" w:leader="none"/>
        </w:tabs>
        <w:spacing w:lineRule="auto" w:line="240" w:before="0" w:after="0"/>
        <w:contextualSpacing/>
        <w:jc w:val="both"/>
        <w:rPr>
          <w:rFonts w:ascii="Times New Roman" w:hAnsi="Times New Roman" w:cs="Times New Roman"/>
          <w:bCs/>
          <w:sz w:val="24"/>
          <w:szCs w:val="24"/>
          <w:lang w:eastAsia="lv-LV"/>
        </w:rPr>
      </w:pPr>
      <w:r>
        <w:rPr>
          <w:rFonts w:cs="Times New Roman" w:ascii="Times New Roman" w:hAnsi="Times New Roman"/>
          <w:sz w:val="24"/>
          <w:szCs w:val="24"/>
          <w:lang w:eastAsia="x-none"/>
        </w:rPr>
        <w:t xml:space="preserve"> </w:t>
      </w:r>
      <w:r>
        <w:rPr>
          <w:rFonts w:cs="Times New Roman" w:ascii="Times New Roman" w:hAnsi="Times New Roman"/>
          <w:sz w:val="24"/>
          <w:szCs w:val="24"/>
          <w:lang w:eastAsia="x-none"/>
        </w:rPr>
        <w:t>Pārdevējam</w:t>
      </w:r>
      <w:r>
        <w:rPr>
          <w:rFonts w:cs="Times New Roman" w:ascii="Times New Roman" w:hAnsi="Times New Roman"/>
          <w:sz w:val="24"/>
          <w:szCs w:val="24"/>
          <w:lang w:val="x-none" w:eastAsia="x-none"/>
        </w:rPr>
        <w:t xml:space="preserve"> nelabvēlīga slēdziena gadījumā</w:t>
      </w:r>
      <w:r>
        <w:rPr>
          <w:rFonts w:cs="Times New Roman" w:ascii="Times New Roman" w:hAnsi="Times New Roman"/>
          <w:sz w:val="24"/>
          <w:szCs w:val="24"/>
          <w:lang w:eastAsia="x-none"/>
        </w:rPr>
        <w:t>, p</w:t>
      </w:r>
      <w:r>
        <w:rPr>
          <w:rFonts w:cs="Times New Roman" w:ascii="Times New Roman" w:hAnsi="Times New Roman"/>
          <w:bCs/>
          <w:sz w:val="24"/>
          <w:szCs w:val="24"/>
          <w:lang w:eastAsia="lv-LV"/>
        </w:rPr>
        <w:t>retenzijas par Degvielas kvalitāti, Pircējs iesniedz Pārdevējam rakstiskā veidā ne vēlāk kā 20 (divdesmit) kalendāra dienu laikā no eksperta (laboratorijas) atzinumu saņemšanas dienas, klāt pievienojot eksperta (laboratorijas) atzinumu par Degvielas kvalitāti.</w:t>
      </w:r>
    </w:p>
    <w:p>
      <w:pPr>
        <w:pStyle w:val="ListParagraph"/>
        <w:numPr>
          <w:ilvl w:val="1"/>
          <w:numId w:val="15"/>
        </w:numPr>
        <w:tabs>
          <w:tab w:val="left" w:pos="720" w:leader="none"/>
        </w:tabs>
        <w:spacing w:lineRule="auto" w:line="240" w:before="0" w:after="0"/>
        <w:contextualSpacing/>
        <w:jc w:val="both"/>
        <w:rPr>
          <w:rFonts w:ascii="Times New Roman" w:hAnsi="Times New Roman" w:cs="Times New Roman"/>
          <w:bCs/>
          <w:sz w:val="24"/>
          <w:szCs w:val="24"/>
          <w:lang w:eastAsia="lv-LV"/>
        </w:rPr>
      </w:pPr>
      <w:r>
        <w:rPr>
          <w:rFonts w:cs="Times New Roman" w:ascii="Times New Roman" w:hAnsi="Times New Roman"/>
          <w:bCs/>
          <w:sz w:val="24"/>
          <w:szCs w:val="24"/>
          <w:lang w:eastAsia="lv-LV"/>
        </w:rPr>
        <w:t>Pārdevējs atlīdzina Pircēja zaudējumus, kas radušies nekvalitatīvas Degvielas lietošanas laikā, tai skaitā izdevumus, kas Pircējam radušies, veicot ekspertīzi par Degvielas kvalitāti.</w:t>
      </w:r>
    </w:p>
    <w:p>
      <w:pPr>
        <w:pStyle w:val="ListParagraph"/>
        <w:numPr>
          <w:ilvl w:val="1"/>
          <w:numId w:val="15"/>
        </w:numPr>
        <w:tabs>
          <w:tab w:val="left" w:pos="720" w:leader="none"/>
          <w:tab w:val="left" w:pos="3338" w:leader="none"/>
          <w:tab w:val="left" w:pos="3402" w:leader="none"/>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Cs/>
          <w:sz w:val="24"/>
          <w:szCs w:val="24"/>
          <w:lang w:eastAsia="lv-LV"/>
        </w:rPr>
        <w:t>Pretenzijas, kas saistītas ar līgumsaistību izpildi, Līdzējiem ir jāizskata 10 (desmit) dienu laikā no pretenziju saņemšanas dienas.</w:t>
      </w:r>
    </w:p>
    <w:p>
      <w:pPr>
        <w:pStyle w:val="Normal"/>
        <w:tabs>
          <w:tab w:val="clear" w:pos="720"/>
          <w:tab w:val="left" w:pos="3338" w:leader="none"/>
          <w:tab w:val="left" w:pos="3402" w:leader="none"/>
        </w:tabs>
        <w:spacing w:lineRule="auto" w:line="240" w:before="0" w:after="0"/>
        <w:ind w:left="360" w:hanging="0"/>
        <w:rPr>
          <w:rFonts w:ascii="Times New Roman" w:hAnsi="Times New Roman"/>
          <w:sz w:val="24"/>
          <w:szCs w:val="24"/>
        </w:rPr>
      </w:pPr>
      <w:r>
        <w:rPr>
          <w:rFonts w:cs="Times New Roman" w:ascii="Times New Roman" w:hAnsi="Times New Roman"/>
          <w:b/>
          <w:sz w:val="24"/>
          <w:szCs w:val="24"/>
        </w:rPr>
        <w:tab/>
      </w:r>
    </w:p>
    <w:p>
      <w:pPr>
        <w:pStyle w:val="Normal"/>
        <w:tabs>
          <w:tab w:val="clear" w:pos="720"/>
          <w:tab w:val="left" w:pos="3338" w:leader="none"/>
          <w:tab w:val="left" w:pos="3402" w:leader="none"/>
        </w:tabs>
        <w:spacing w:lineRule="auto" w:line="240" w:before="0" w:after="0"/>
        <w:ind w:left="360" w:hanging="0"/>
        <w:jc w:val="center"/>
        <w:rPr>
          <w:rFonts w:ascii="Times New Roman" w:hAnsi="Times New Roman"/>
          <w:sz w:val="24"/>
          <w:szCs w:val="24"/>
        </w:rPr>
      </w:pPr>
      <w:r>
        <w:rPr>
          <w:rFonts w:cs="Times New Roman" w:ascii="Times New Roman" w:hAnsi="Times New Roman"/>
          <w:b/>
          <w:sz w:val="24"/>
          <w:szCs w:val="24"/>
        </w:rPr>
        <w:t xml:space="preserve">6.Domstarpības un strīdi  </w:t>
      </w:r>
    </w:p>
    <w:p>
      <w:pPr>
        <w:pStyle w:val="Normal"/>
        <w:tabs>
          <w:tab w:val="clear" w:pos="720"/>
          <w:tab w:val="left" w:pos="3338" w:leader="none"/>
          <w:tab w:val="left" w:pos="3402" w:leader="none"/>
        </w:tabs>
        <w:spacing w:lineRule="auto" w:line="240" w:before="0" w:after="0"/>
        <w:ind w:left="360" w:hanging="0"/>
        <w:jc w:val="center"/>
        <w:rPr>
          <w:rFonts w:cs="Times New Roman"/>
          <w:b/>
          <w:b/>
        </w:rPr>
      </w:pPr>
      <w:r>
        <w:rPr>
          <w:rFonts w:cs="Times New Roman"/>
          <w:b/>
        </w:rPr>
      </w:r>
    </w:p>
    <w:p>
      <w:pPr>
        <w:pStyle w:val="ListParagraph"/>
        <w:numPr>
          <w:ilvl w:val="1"/>
          <w:numId w:val="17"/>
        </w:numPr>
        <w:spacing w:lineRule="auto" w:line="240" w:before="0" w:after="0"/>
        <w:contextualSpacing/>
        <w:jc w:val="both"/>
        <w:rPr>
          <w:rFonts w:ascii="Times New Roman" w:hAnsi="Times New Roman" w:cs="Times New Roman"/>
          <w:sz w:val="24"/>
          <w:szCs w:val="24"/>
          <w:highlight w:val="white"/>
        </w:rPr>
      </w:pPr>
      <w:r>
        <w:rPr>
          <w:rFonts w:cs="Times New Roman" w:ascii="Times New Roman" w:hAnsi="Times New Roman"/>
          <w:sz w:val="24"/>
          <w:szCs w:val="24"/>
        </w:rPr>
        <w:t>Jebkuras nesaskaņas, domstarpības vai strīdi, kas var rasties šī līguma izpildes gaitā vai atsevišķu tā punktu izpratnē, tiek risināti pārrunu ceļā, un to atrisinājums tiek noformēts rakstveidā.</w:t>
      </w:r>
      <w:r>
        <w:rPr>
          <w:rFonts w:cs="Times New Roman" w:ascii="Times New Roman" w:hAnsi="Times New Roman"/>
          <w:sz w:val="24"/>
          <w:szCs w:val="24"/>
          <w:shd w:fill="FFFFFF" w:val="clear"/>
        </w:rPr>
        <w:t xml:space="preserve"> </w:t>
      </w:r>
    </w:p>
    <w:p>
      <w:pPr>
        <w:pStyle w:val="ListParagraph"/>
        <w:numPr>
          <w:ilvl w:val="1"/>
          <w:numId w:val="17"/>
        </w:numPr>
        <w:spacing w:lineRule="auto" w:line="240" w:before="0" w:after="0"/>
        <w:contextualSpacing/>
        <w:jc w:val="both"/>
        <w:rPr>
          <w:rFonts w:ascii="Times New Roman" w:hAnsi="Times New Roman" w:cs="Times New Roman"/>
          <w:b/>
          <w:b/>
          <w:bCs/>
          <w:sz w:val="24"/>
          <w:szCs w:val="24"/>
        </w:rPr>
      </w:pPr>
      <w:r>
        <w:rPr>
          <w:rFonts w:cs="Times New Roman" w:ascii="Times New Roman" w:hAnsi="Times New Roman"/>
          <w:sz w:val="24"/>
          <w:szCs w:val="24"/>
          <w:shd w:fill="FFFFFF" w:val="clear"/>
        </w:rPr>
        <w:t>Ja viena Puse pārkāpusi kādu no Līguma noteikumiem, otrai Pusei ir tiesības iesniegt rakstveida pretenziju, kurā norādīts pārkāpuma raksturs un Līguma punkts, kuru Puse uzskata par pārkāptu.</w:t>
      </w:r>
    </w:p>
    <w:p>
      <w:pPr>
        <w:pStyle w:val="ListParagraph"/>
        <w:numPr>
          <w:ilvl w:val="1"/>
          <w:numId w:val="17"/>
        </w:numPr>
        <w:spacing w:lineRule="auto" w:line="240" w:before="0" w:after="0"/>
        <w:contextualSpacing/>
        <w:jc w:val="both"/>
        <w:rPr>
          <w:rFonts w:ascii="Times New Roman" w:hAnsi="Times New Roman" w:eastAsia="Calibri" w:cs="Times New Roman"/>
          <w:b/>
          <w:b/>
          <w:bCs/>
          <w:sz w:val="24"/>
          <w:szCs w:val="24"/>
        </w:rPr>
      </w:pPr>
      <w:r>
        <w:rPr>
          <w:rFonts w:eastAsia="Calibri" w:cs="Times New Roman" w:ascii="Times New Roman" w:hAnsi="Times New Roman"/>
          <w:sz w:val="24"/>
          <w:szCs w:val="24"/>
        </w:rPr>
        <w:t>Ja 14 (četrpadsmit) kalendāro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pPr>
        <w:pStyle w:val="ListParagraph"/>
        <w:spacing w:lineRule="auto" w:line="240" w:before="0" w:after="0"/>
        <w:ind w:left="360" w:hanging="0"/>
        <w:contextualSpacing/>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ListParagraph"/>
        <w:spacing w:lineRule="auto" w:line="240" w:before="0" w:after="0"/>
        <w:ind w:left="3600" w:hanging="0"/>
        <w:contextualSpacing/>
        <w:jc w:val="both"/>
        <w:rPr>
          <w:rFonts w:ascii="Times New Roman" w:hAnsi="Times New Roman"/>
          <w:sz w:val="24"/>
          <w:szCs w:val="24"/>
        </w:rPr>
      </w:pPr>
      <w:r>
        <w:rPr>
          <w:rFonts w:eastAsia="Calibri" w:cs="Times New Roman" w:ascii="Times New Roman" w:hAnsi="Times New Roman"/>
          <w:b/>
          <w:sz w:val="24"/>
          <w:szCs w:val="24"/>
        </w:rPr>
        <w:t>7.Nepārvarama vara</w:t>
      </w:r>
    </w:p>
    <w:p>
      <w:pPr>
        <w:pStyle w:val="ListParagraph"/>
        <w:spacing w:lineRule="auto" w:line="240" w:before="0" w:after="0"/>
        <w:ind w:left="3600" w:hanging="0"/>
        <w:contextualSpacing/>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ListParagraph"/>
        <w:numPr>
          <w:ilvl w:val="1"/>
          <w:numId w:val="16"/>
        </w:numPr>
        <w:spacing w:lineRule="auto" w:line="240" w:before="0" w:after="0"/>
        <w:ind w:left="426" w:hanging="426"/>
        <w:contextualSpacing/>
        <w:jc w:val="both"/>
        <w:rPr>
          <w:rFonts w:ascii="Times New Roman" w:hAnsi="Times New Roman" w:cs="Times New Roman"/>
          <w:bCs/>
          <w:sz w:val="24"/>
          <w:szCs w:val="24"/>
          <w:lang w:eastAsia="lv-LV"/>
        </w:rPr>
      </w:pPr>
      <w:r>
        <w:rPr>
          <w:rFonts w:cs="Times New Roman" w:ascii="Times New Roman" w:hAnsi="Times New Roman"/>
          <w:bCs/>
          <w:sz w:val="24"/>
          <w:szCs w:val="24"/>
          <w:lang w:eastAsia="lv-LV"/>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 </w:t>
      </w:r>
    </w:p>
    <w:p>
      <w:pPr>
        <w:pStyle w:val="ListParagraph"/>
        <w:numPr>
          <w:ilvl w:val="1"/>
          <w:numId w:val="16"/>
        </w:numPr>
        <w:spacing w:lineRule="auto" w:line="240" w:before="0" w:after="0"/>
        <w:ind w:left="426" w:hanging="426"/>
        <w:contextualSpacing/>
        <w:jc w:val="both"/>
        <w:rPr>
          <w:rFonts w:ascii="Times New Roman" w:hAnsi="Times New Roman" w:cs="Times New Roman"/>
          <w:bCs/>
          <w:sz w:val="24"/>
          <w:szCs w:val="24"/>
          <w:lang w:eastAsia="lv-LV"/>
        </w:rPr>
      </w:pPr>
      <w:r>
        <w:rPr>
          <w:rFonts w:cs="Times New Roman" w:ascii="Times New Roman" w:hAnsi="Times New Roman"/>
          <w:bCs/>
          <w:sz w:val="24"/>
          <w:szCs w:val="24"/>
          <w:lang w:eastAsia="lv-LV"/>
        </w:rP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pPr>
        <w:pStyle w:val="ListParagraph"/>
        <w:numPr>
          <w:ilvl w:val="1"/>
          <w:numId w:val="16"/>
        </w:numPr>
        <w:spacing w:lineRule="auto" w:line="240" w:before="0" w:after="0"/>
        <w:ind w:left="426" w:hanging="426"/>
        <w:contextualSpacing/>
        <w:jc w:val="both"/>
        <w:rPr>
          <w:rFonts w:ascii="Times New Roman" w:hAnsi="Times New Roman" w:cs="Times New Roman"/>
          <w:b/>
          <w:b/>
          <w:bCs/>
          <w:sz w:val="24"/>
          <w:szCs w:val="24"/>
          <w:lang w:eastAsia="lv-LV"/>
        </w:rPr>
      </w:pPr>
      <w:r>
        <w:rPr>
          <w:rFonts w:cs="Times New Roman" w:ascii="Times New Roman" w:hAnsi="Times New Roman"/>
          <w:bCs/>
          <w:sz w:val="24"/>
          <w:szCs w:val="24"/>
          <w:lang w:eastAsia="lv-LV"/>
        </w:rPr>
        <w:t>Ja šie apstākļi turpinās ilgāk nekā vienu mēnesi, jebkurš no Līdzējiem ir tiesīgs atteikties no savām līgumsaistībām, un neviens no Līdzējiem nav tiesīgs prasīt zaudējumu atlīdzināšanu.</w:t>
      </w:r>
    </w:p>
    <w:p>
      <w:pPr>
        <w:pStyle w:val="Normal"/>
        <w:spacing w:lineRule="auto" w:line="240" w:before="0" w:after="0"/>
        <w:ind w:left="360" w:hanging="360"/>
        <w:jc w:val="both"/>
        <w:rPr>
          <w:rFonts w:cs="Times New Roman"/>
          <w:b/>
          <w:b/>
          <w:bCs/>
        </w:rPr>
      </w:pPr>
      <w:r>
        <w:rPr>
          <w:rFonts w:cs="Times New Roman"/>
          <w:b/>
          <w:bCs/>
        </w:rPr>
      </w:r>
    </w:p>
    <w:p>
      <w:pPr>
        <w:pStyle w:val="Normal"/>
        <w:spacing w:lineRule="auto" w:line="240" w:before="0" w:after="0"/>
        <w:ind w:left="360" w:hanging="360"/>
        <w:jc w:val="center"/>
        <w:rPr>
          <w:rFonts w:ascii="Times New Roman" w:hAnsi="Times New Roman"/>
          <w:sz w:val="24"/>
          <w:szCs w:val="24"/>
        </w:rPr>
      </w:pPr>
      <w:r>
        <w:rPr>
          <w:rFonts w:cs="Times New Roman" w:ascii="Times New Roman" w:hAnsi="Times New Roman"/>
          <w:b/>
          <w:sz w:val="24"/>
          <w:szCs w:val="24"/>
        </w:rPr>
        <w:t>8. Grozījumi un Līguma laušana</w:t>
      </w:r>
    </w:p>
    <w:p>
      <w:pPr>
        <w:pStyle w:val="Normal"/>
        <w:spacing w:lineRule="auto" w:line="240" w:before="0" w:after="0"/>
        <w:ind w:left="360" w:hanging="36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13"/>
        </w:numPr>
        <w:spacing w:lineRule="auto" w:line="240" w:before="0" w:after="0"/>
        <w:contextualSpacing/>
        <w:jc w:val="both"/>
        <w:rPr/>
      </w:pPr>
      <w:r>
        <w:rPr>
          <w:rFonts w:eastAsia="Calibri" w:cs="Times New Roman" w:ascii="Times New Roman" w:hAnsi="Times New Roman"/>
          <w:sz w:val="24"/>
          <w:szCs w:val="24"/>
          <w:lang w:eastAsia="ar-SA"/>
        </w:rPr>
        <w:t>Pusēm ir tiesības jebkurā laikā vienpusēji izbeigt Līgumu par to vismaz 5 (piecas) dienas iepriekš rakstiski brīdinot otru Pusi.</w:t>
      </w:r>
    </w:p>
    <w:p>
      <w:pPr>
        <w:pStyle w:val="ListParagraph"/>
        <w:spacing w:lineRule="auto" w:line="240" w:before="0" w:after="0"/>
        <w:ind w:left="360" w:hanging="360"/>
        <w:contextualSpacing/>
        <w:jc w:val="both"/>
        <w:rPr/>
      </w:pPr>
      <w:r>
        <w:rPr>
          <w:rFonts w:eastAsia="Calibri" w:cs="Times New Roman" w:ascii="Times New Roman" w:hAnsi="Times New Roman"/>
          <w:sz w:val="24"/>
          <w:szCs w:val="24"/>
        </w:rPr>
        <w:t>8.2. J</w:t>
      </w:r>
      <w:r>
        <w:rPr>
          <w:rFonts w:eastAsia="Calibri" w:cs="Times New Roman" w:ascii="Times New Roman" w:hAnsi="Times New Roman"/>
          <w:sz w:val="24"/>
          <w:szCs w:val="24"/>
        </w:rPr>
        <w:t>a</w:t>
      </w:r>
      <w:r>
        <w:rPr>
          <w:rFonts w:eastAsia="Calibri" w:cs="Times New Roman" w:ascii="Times New Roman" w:hAnsi="Times New Roman"/>
          <w:sz w:val="24"/>
          <w:szCs w:val="24"/>
        </w:rPr>
        <w:t xml:space="preserve"> Puse atkāpjas no Līguma saskaņā ar Līguma 8.1.punktu, Pircējs apmaksā Pārdevēja izrakstītos rēķinus par veiktas kvalitatīvas Degvielas piegādi līdz Līguma izbeigšanās brīdim.</w:t>
      </w:r>
      <w:r>
        <w:rPr>
          <w:rFonts w:cs="Times New Roman" w:ascii="Times New Roman" w:hAnsi="Times New Roman"/>
          <w:sz w:val="24"/>
          <w:szCs w:val="24"/>
        </w:rPr>
        <w:t xml:space="preserve"> </w:t>
      </w:r>
    </w:p>
    <w:p>
      <w:pPr>
        <w:pStyle w:val="ListParagraph"/>
        <w:spacing w:lineRule="auto" w:line="240" w:before="0" w:after="0"/>
        <w:ind w:left="360" w:hanging="360"/>
        <w:contextualSpacing/>
        <w:jc w:val="both"/>
        <w:rPr/>
      </w:pPr>
      <w:r>
        <w:rPr>
          <w:rFonts w:cs="Times New Roman" w:ascii="Times New Roman" w:hAnsi="Times New Roman"/>
          <w:sz w:val="24"/>
          <w:szCs w:val="24"/>
          <w:lang w:val="de-DE"/>
        </w:rPr>
        <w:t>8.</w:t>
      </w:r>
      <w:r>
        <w:rPr>
          <w:rFonts w:cs="Times New Roman" w:ascii="Times New Roman" w:hAnsi="Times New Roman"/>
          <w:sz w:val="24"/>
          <w:szCs w:val="24"/>
          <w:lang w:val="de-DE"/>
        </w:rPr>
        <w:t>3</w:t>
      </w:r>
      <w:r>
        <w:rPr>
          <w:rFonts w:cs="Times New Roman" w:ascii="Times New Roman" w:hAnsi="Times New Roman"/>
          <w:sz w:val="24"/>
          <w:szCs w:val="24"/>
          <w:lang w:val="de-DE"/>
        </w:rPr>
        <w:t xml:space="preserve">. </w:t>
      </w:r>
      <w:r>
        <w:rPr>
          <w:rFonts w:eastAsia="Calibri" w:cs="Times New Roman" w:ascii="Times New Roman" w:hAnsi="Times New Roman"/>
          <w:sz w:val="24"/>
          <w:szCs w:val="24"/>
        </w:rPr>
        <w:t>Līgumu var grozīt, papildināt vai izbeigt, Pusēm vienojoties, kā arī tiesas ceļā Latvijas Republikas normatīvajos aktos paredzētajā kārtībā.</w:t>
      </w:r>
      <w:r>
        <w:rPr>
          <w:rFonts w:cs="Times New Roman" w:ascii="Times New Roman" w:hAnsi="Times New Roman"/>
          <w:sz w:val="24"/>
          <w:szCs w:val="24"/>
        </w:rPr>
        <w:t xml:space="preserve"> Jebkuras izmaiņas vai papildinājumi Līgumā kļūst par šī Līguma neatņemamu sastāvdaļu. </w:t>
      </w:r>
    </w:p>
    <w:p>
      <w:pPr>
        <w:pStyle w:val="ListParagraph"/>
        <w:spacing w:lineRule="auto" w:line="240" w:before="0" w:after="0"/>
        <w:ind w:left="360" w:hanging="360"/>
        <w:contextualSpacing/>
        <w:jc w:val="both"/>
        <w:rPr/>
      </w:pPr>
      <w:r>
        <w:rPr>
          <w:rFonts w:cs="Times New Roman" w:ascii="Times New Roman" w:hAnsi="Times New Roman"/>
          <w:sz w:val="24"/>
          <w:szCs w:val="24"/>
        </w:rPr>
        <w:t>8.</w:t>
      </w:r>
      <w:r>
        <w:rPr>
          <w:rFonts w:cs="Times New Roman" w:ascii="Times New Roman" w:hAnsi="Times New Roman"/>
          <w:sz w:val="24"/>
          <w:szCs w:val="24"/>
        </w:rPr>
        <w:t>4</w:t>
      </w:r>
      <w:r>
        <w:rPr>
          <w:rFonts w:cs="Times New Roman" w:ascii="Times New Roman" w:hAnsi="Times New Roman"/>
          <w:sz w:val="24"/>
          <w:szCs w:val="24"/>
        </w:rPr>
        <w:t>. Līguma pirmstermiņa izbeigšana neatbrīvo Puses no jau uzņemto saistību izpildes.</w:t>
      </w:r>
    </w:p>
    <w:p>
      <w:pPr>
        <w:pStyle w:val="Normal"/>
        <w:spacing w:lineRule="auto" w:line="240" w:before="0" w:after="0"/>
        <w:ind w:left="360" w:hanging="360"/>
        <w:jc w:val="both"/>
        <w:rPr>
          <w:rFonts w:ascii="Times New Roman" w:hAnsi="Times New Roman"/>
          <w:sz w:val="24"/>
          <w:szCs w:val="24"/>
        </w:rPr>
      </w:pPr>
      <w:r>
        <w:rPr>
          <w:rFonts w:cs="Times New Roman" w:ascii="Times New Roman" w:hAnsi="Times New Roman"/>
          <w:sz w:val="24"/>
          <w:szCs w:val="24"/>
        </w:rPr>
        <w:tab/>
        <w:tab/>
        <w:tab/>
        <w:tab/>
      </w:r>
      <w:r>
        <w:rPr>
          <w:rFonts w:cs="Times New Roman" w:ascii="Times New Roman" w:hAnsi="Times New Roman"/>
          <w:b/>
          <w:sz w:val="24"/>
          <w:szCs w:val="24"/>
        </w:rPr>
        <w:t xml:space="preserve">               </w:t>
      </w:r>
    </w:p>
    <w:p>
      <w:pPr>
        <w:pStyle w:val="Normal"/>
        <w:spacing w:lineRule="auto" w:line="240" w:before="0" w:after="0"/>
        <w:ind w:left="360" w:hanging="360"/>
        <w:jc w:val="center"/>
        <w:rPr>
          <w:rFonts w:ascii="Times New Roman" w:hAnsi="Times New Roman" w:cs="Times New Roman"/>
          <w:b/>
          <w:b/>
          <w:sz w:val="24"/>
          <w:szCs w:val="24"/>
        </w:rPr>
      </w:pPr>
      <w:r>
        <w:rPr/>
      </w:r>
    </w:p>
    <w:p>
      <w:pPr>
        <w:pStyle w:val="Normal"/>
        <w:spacing w:lineRule="auto" w:line="240" w:before="0" w:after="0"/>
        <w:ind w:left="360" w:hanging="360"/>
        <w:jc w:val="center"/>
        <w:rPr>
          <w:rFonts w:ascii="Times New Roman" w:hAnsi="Times New Roman"/>
          <w:sz w:val="24"/>
          <w:szCs w:val="24"/>
        </w:rPr>
      </w:pPr>
      <w:r>
        <w:rPr>
          <w:rFonts w:cs="Times New Roman" w:ascii="Times New Roman" w:hAnsi="Times New Roman"/>
          <w:b/>
          <w:sz w:val="24"/>
          <w:szCs w:val="24"/>
        </w:rPr>
        <w:t>9. Vispārējie noteikumi</w:t>
      </w:r>
    </w:p>
    <w:p>
      <w:pPr>
        <w:pStyle w:val="Normal"/>
        <w:spacing w:lineRule="auto" w:line="240" w:before="0" w:after="0"/>
        <w:ind w:left="360" w:hanging="360"/>
        <w:jc w:val="center"/>
        <w:rPr>
          <w:rFonts w:cs="Times New Roman"/>
          <w:b/>
          <w:b/>
        </w:rPr>
      </w:pPr>
      <w:r>
        <w:rPr>
          <w:rFonts w:cs="Times New Roman"/>
          <w:b/>
        </w:rPr>
      </w:r>
    </w:p>
    <w:p>
      <w:pPr>
        <w:pStyle w:val="Normal"/>
        <w:spacing w:lineRule="auto" w:line="240" w:before="0" w:after="0"/>
        <w:ind w:left="360" w:hanging="360"/>
        <w:jc w:val="both"/>
        <w:rPr>
          <w:rFonts w:ascii="Times New Roman" w:hAnsi="Times New Roman" w:cs="Times New Roman"/>
          <w:sz w:val="24"/>
          <w:szCs w:val="24"/>
        </w:rPr>
      </w:pPr>
      <w:r>
        <w:rPr>
          <w:rFonts w:cs="Times New Roman" w:ascii="Times New Roman" w:hAnsi="Times New Roman"/>
          <w:sz w:val="24"/>
          <w:szCs w:val="24"/>
        </w:rPr>
        <w:t xml:space="preserve">9.1. Līgums stājas spēkā ar tā parakstīšanas brīdi un ir spēkā līdz pilnīgai saistību izpildei. </w:t>
      </w:r>
    </w:p>
    <w:p>
      <w:pPr>
        <w:pStyle w:val="Normal"/>
        <w:spacing w:lineRule="auto" w:line="240" w:before="0" w:after="0"/>
        <w:ind w:left="360" w:hanging="360"/>
        <w:jc w:val="both"/>
        <w:rPr>
          <w:rFonts w:ascii="Times New Roman" w:hAnsi="Times New Roman" w:eastAsia="Calibri" w:cs="Times New Roman"/>
          <w:b/>
          <w:b/>
          <w:bCs/>
          <w:sz w:val="24"/>
          <w:szCs w:val="24"/>
        </w:rPr>
      </w:pPr>
      <w:r>
        <w:rPr>
          <w:rFonts w:cs="Times New Roman" w:ascii="Times New Roman" w:hAnsi="Times New Roman"/>
          <w:sz w:val="24"/>
          <w:szCs w:val="24"/>
        </w:rPr>
        <w:t xml:space="preserve">9.2. </w:t>
      </w:r>
      <w:r>
        <w:rPr>
          <w:rFonts w:eastAsia="Calibri" w:cs="Times New Roman" w:ascii="Times New Roman" w:hAnsi="Times New Roman"/>
          <w:sz w:val="24"/>
          <w:szCs w:val="24"/>
        </w:rPr>
        <w:t>Šis līgums ir saistošs Pircējam un Pārdevējam, kā arī visām trešajām personām, kas likumīgi pārņem viņu tiesības un pienākumus.</w:t>
      </w:r>
    </w:p>
    <w:p>
      <w:pPr>
        <w:pStyle w:val="Normal"/>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9.3.Šajā Līgumā neatrunātajos jautājumos Puses vadās no Latvijas Republikā spēkā esošajiem normatīvajiem aktiem.</w:t>
      </w:r>
    </w:p>
    <w:p>
      <w:pPr>
        <w:pStyle w:val="Normal"/>
        <w:spacing w:lineRule="auto" w:line="240" w:before="0" w:after="0"/>
        <w:ind w:left="360"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9.4. Līgums sagatavots latviešu valodā 2 (divos) eksemplāros, no kuriem viens eksemplārs atrodas pie Pircēja, bet otrs – pie Pārdevēja. Abiem Līguma eksemplāriem ir vienāds juridisks spēks.</w:t>
      </w:r>
    </w:p>
    <w:p>
      <w:pPr>
        <w:pStyle w:val="Normal"/>
        <w:spacing w:lineRule="auto" w:line="240" w:before="0" w:after="0"/>
        <w:ind w:left="360"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9.5. Līguma pielikumi ir šā Līguma neatņemamas sastāvdaļas.</w:t>
      </w:r>
    </w:p>
    <w:p>
      <w:pPr>
        <w:pStyle w:val="Normal"/>
        <w:spacing w:lineRule="auto" w:line="240" w:before="0" w:after="0"/>
        <w:ind w:left="360" w:hanging="360"/>
        <w:jc w:val="both"/>
        <w:rPr>
          <w:rFonts w:ascii="Times New Roman" w:hAnsi="Times New Roman"/>
          <w:sz w:val="24"/>
          <w:szCs w:val="24"/>
        </w:rPr>
      </w:pPr>
      <w:r>
        <w:rPr>
          <w:rFonts w:cs="Times New Roman" w:ascii="Times New Roman" w:hAnsi="Times New Roman"/>
          <w:sz w:val="24"/>
          <w:szCs w:val="24"/>
        </w:rPr>
        <w:t>9.6. Pircējs pilnvaro kontrolēt šī Līguma izpildi un parakstīt iesniegtās pavadzīmes komunālās daļas vadītājam Edgaram Riežniekam (tālr.28373224, e-pasts: edgars.rieznieks@rucava.lv).</w:t>
      </w:r>
    </w:p>
    <w:p>
      <w:pPr>
        <w:pStyle w:val="Normal"/>
        <w:spacing w:lineRule="auto" w:line="240" w:before="0" w:after="0"/>
        <w:ind w:left="360" w:hanging="360"/>
        <w:jc w:val="both"/>
        <w:rPr>
          <w:rFonts w:ascii="Times New Roman" w:hAnsi="Times New Roman" w:cs="Times New Roman"/>
          <w:sz w:val="24"/>
          <w:szCs w:val="24"/>
        </w:rPr>
      </w:pPr>
      <w:r>
        <w:rPr>
          <w:rFonts w:cs="Times New Roman" w:ascii="Times New Roman" w:hAnsi="Times New Roman"/>
          <w:sz w:val="24"/>
          <w:szCs w:val="24"/>
        </w:rPr>
        <w:t>9.7. Līgumam ir divi pielikumi:</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1.pielikums –  Finanšu piedāvājums,</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2.pielikums – Tehniskā specifikācija.</w:t>
      </w:r>
    </w:p>
    <w:p>
      <w:pPr>
        <w:pStyle w:val="Normal"/>
        <w:spacing w:lineRule="auto" w:line="240" w:before="0" w:after="0"/>
        <w:ind w:left="2550" w:firstLine="330"/>
        <w:rPr>
          <w:rFonts w:cs="Times New Roman"/>
          <w:b/>
          <w:b/>
        </w:rPr>
      </w:pPr>
      <w:r>
        <w:rPr>
          <w:rFonts w:cs="Times New Roman"/>
          <w:b/>
        </w:rPr>
      </w:r>
    </w:p>
    <w:p>
      <w:pPr>
        <w:pStyle w:val="Normal"/>
        <w:spacing w:lineRule="auto" w:line="240" w:before="0" w:after="0"/>
        <w:ind w:left="2550" w:firstLine="330"/>
        <w:rPr>
          <w:rFonts w:ascii="Times New Roman" w:hAnsi="Times New Roman"/>
          <w:sz w:val="24"/>
          <w:szCs w:val="24"/>
        </w:rPr>
      </w:pPr>
      <w:r>
        <w:rPr>
          <w:rFonts w:cs="Times New Roman" w:ascii="Times New Roman" w:hAnsi="Times New Roman"/>
          <w:b/>
          <w:sz w:val="24"/>
          <w:szCs w:val="24"/>
        </w:rPr>
        <w:t>10.</w:t>
      </w:r>
      <w:r>
        <w:rPr>
          <w:rFonts w:eastAsia="Calibri" w:cs="Times New Roman" w:ascii="Times New Roman" w:hAnsi="Times New Roman"/>
          <w:b/>
          <w:sz w:val="24"/>
          <w:szCs w:val="24"/>
        </w:rPr>
        <w:t>Pušu rekvizīti un paraksti</w:t>
      </w:r>
    </w:p>
    <w:tbl>
      <w:tblPr>
        <w:tblStyle w:val="Reatabula1"/>
        <w:tblW w:w="9287" w:type="dxa"/>
        <w:jc w:val="left"/>
        <w:tblInd w:w="-284" w:type="dxa"/>
        <w:tblBorders/>
        <w:tblCellMar>
          <w:top w:w="0" w:type="dxa"/>
          <w:left w:w="108" w:type="dxa"/>
          <w:bottom w:w="0" w:type="dxa"/>
          <w:right w:w="108" w:type="dxa"/>
        </w:tblCellMar>
        <w:tblLook w:firstRow="1" w:noVBand="1" w:lastRow="0" w:firstColumn="1" w:lastColumn="0" w:noHBand="0" w:val="04a0"/>
      </w:tblPr>
      <w:tblGrid>
        <w:gridCol w:w="4361"/>
        <w:gridCol w:w="4925"/>
      </w:tblGrid>
      <w:tr>
        <w:trPr/>
        <w:tc>
          <w:tcPr>
            <w:tcW w:w="4361" w:type="dxa"/>
            <w:tcBorders/>
            <w:shd w:fill="auto" w:val="clear"/>
          </w:tcPr>
          <w:p>
            <w:pPr>
              <w:pStyle w:val="Normal"/>
              <w:tabs>
                <w:tab w:val="clear" w:pos="720"/>
                <w:tab w:val="center" w:pos="4535" w:leader="none"/>
                <w:tab w:val="left" w:pos="4984" w:leader="none"/>
              </w:tabs>
              <w:spacing w:lineRule="auto" w:line="240" w:before="0" w:after="0"/>
              <w:rPr>
                <w:rFonts w:ascii="Times New Roman" w:hAnsi="Times New Roman"/>
                <w:sz w:val="24"/>
                <w:szCs w:val="24"/>
              </w:rPr>
            </w:pPr>
            <w:r>
              <w:rPr>
                <w:rFonts w:eastAsia="Calibri" w:cs="Times New Roman" w:ascii="Times New Roman" w:hAnsi="Times New Roman"/>
                <w:b/>
                <w:bCs/>
                <w:sz w:val="24"/>
                <w:szCs w:val="24"/>
                <w:lang w:eastAsia="lv-LV"/>
              </w:rPr>
              <w:t>Pircējs:</w:t>
            </w:r>
          </w:p>
        </w:tc>
        <w:tc>
          <w:tcPr>
            <w:tcW w:w="4925" w:type="dxa"/>
            <w:tcBorders/>
            <w:shd w:fill="auto" w:val="clear"/>
          </w:tcPr>
          <w:p>
            <w:pPr>
              <w:pStyle w:val="Normal"/>
              <w:tabs>
                <w:tab w:val="clear" w:pos="720"/>
                <w:tab w:val="center" w:pos="4535" w:leader="none"/>
                <w:tab w:val="left" w:pos="4984" w:leader="none"/>
              </w:tabs>
              <w:spacing w:lineRule="auto" w:line="240" w:before="0" w:after="0"/>
              <w:rPr>
                <w:rFonts w:ascii="Times New Roman" w:hAnsi="Times New Roman"/>
                <w:sz w:val="24"/>
                <w:szCs w:val="24"/>
              </w:rPr>
            </w:pPr>
            <w:r>
              <w:rPr>
                <w:rFonts w:eastAsia="Calibri" w:cs="Times New Roman" w:ascii="Times New Roman" w:hAnsi="Times New Roman"/>
                <w:b/>
                <w:bCs/>
                <w:sz w:val="24"/>
                <w:szCs w:val="24"/>
                <w:lang w:eastAsia="lv-LV"/>
              </w:rPr>
              <w:t>Pārdevējs:</w:t>
            </w:r>
          </w:p>
        </w:tc>
      </w:tr>
      <w:tr>
        <w:trPr/>
        <w:tc>
          <w:tcPr>
            <w:tcW w:w="4361" w:type="dxa"/>
            <w:tcBorders/>
            <w:shd w:fill="auto" w:val="clear"/>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lang w:eastAsia="lv-LV"/>
              </w:rPr>
              <w:t xml:space="preserve">Rucavas novada dome </w:t>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sz w:val="24"/>
                <w:szCs w:val="24"/>
                <w:lang w:eastAsia="lv-LV"/>
              </w:rPr>
              <w:t>Reģ.nr.90000059230</w:t>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sz w:val="24"/>
                <w:szCs w:val="24"/>
                <w:lang w:eastAsia="lv-LV"/>
              </w:rPr>
              <w:t>Juridiskā adrese: ‘’Pagastmāja’’, Rucava, Rucavas pagasts, Rucavas novads, LV-3477</w:t>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sz w:val="24"/>
                <w:szCs w:val="24"/>
                <w:lang w:eastAsia="lv-LV"/>
              </w:rPr>
              <w:t>Tālr.634 67054, fax 634 61186</w:t>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sz w:val="24"/>
                <w:szCs w:val="24"/>
                <w:lang w:eastAsia="lv-LV"/>
              </w:rPr>
              <w:t>e-pasts: dome@rucava.lv</w:t>
            </w:r>
          </w:p>
          <w:p>
            <w:pPr>
              <w:pStyle w:val="Normal"/>
              <w:suppressAutoHyphens w:val="true"/>
              <w:spacing w:lineRule="auto" w:line="240" w:before="0" w:after="0"/>
              <w:rPr>
                <w:rFonts w:ascii="Times New Roman" w:hAnsi="Times New Roman"/>
                <w:sz w:val="24"/>
                <w:szCs w:val="24"/>
              </w:rPr>
            </w:pPr>
            <w:r>
              <w:rPr>
                <w:rFonts w:eastAsia="Times New Roman" w:cs="Times New Roman" w:ascii="Times New Roman" w:hAnsi="Times New Roman"/>
                <w:b w:val="false"/>
                <w:bCs w:val="false"/>
                <w:color w:val="auto"/>
                <w:sz w:val="24"/>
                <w:szCs w:val="24"/>
                <w:lang w:eastAsia="ar-SA"/>
              </w:rPr>
              <w:t>Valsts Kase</w:t>
            </w:r>
          </w:p>
          <w:p>
            <w:pPr>
              <w:pStyle w:val="Normal"/>
              <w:spacing w:lineRule="auto" w:line="240" w:before="0" w:after="0"/>
              <w:rPr>
                <w:rFonts w:ascii="Times New Roman" w:hAnsi="Times New Roman"/>
                <w:sz w:val="24"/>
                <w:szCs w:val="24"/>
              </w:rPr>
            </w:pPr>
            <w:r>
              <w:rPr>
                <w:rFonts w:cs="Times New Roman" w:ascii="Times New Roman" w:hAnsi="Times New Roman"/>
                <w:b w:val="false"/>
                <w:bCs w:val="false"/>
                <w:color w:val="auto"/>
                <w:sz w:val="24"/>
                <w:szCs w:val="24"/>
              </w:rPr>
              <w:t xml:space="preserve">Kods: </w:t>
            </w:r>
            <w:r>
              <w:rPr>
                <w:rFonts w:eastAsia="Times New Roman" w:cs="Times New Roman" w:ascii="Times New Roman" w:hAnsi="Times New Roman"/>
                <w:b w:val="false"/>
                <w:bCs w:val="false"/>
                <w:color w:val="auto"/>
                <w:sz w:val="24"/>
                <w:szCs w:val="24"/>
                <w:lang w:eastAsia="ar-SA"/>
              </w:rPr>
              <w:t>TRELLLV22</w:t>
            </w:r>
          </w:p>
          <w:p>
            <w:pPr>
              <w:pStyle w:val="Normal"/>
              <w:suppressAutoHyphens w:val="true"/>
              <w:spacing w:lineRule="auto" w:line="240" w:before="0" w:after="0"/>
              <w:ind w:hanging="0"/>
              <w:rPr>
                <w:rFonts w:ascii="Times New Roman" w:hAnsi="Times New Roman"/>
              </w:rPr>
            </w:pPr>
            <w:r>
              <w:rPr>
                <w:rFonts w:eastAsia="Times New Roman" w:cs="Times New Roman" w:ascii="Times New Roman" w:hAnsi="Times New Roman"/>
                <w:b w:val="false"/>
                <w:color w:val="auto"/>
                <w:sz w:val="24"/>
                <w:szCs w:val="24"/>
                <w:lang w:eastAsia="ar-SA"/>
              </w:rPr>
              <w:t>Konts: LV29TREL9802286012000</w:t>
            </w:r>
          </w:p>
          <w:p>
            <w:pPr>
              <w:pStyle w:val="Normal"/>
              <w:spacing w:lineRule="auto" w:line="240" w:before="0" w:after="0"/>
              <w:ind w:left="0" w:right="0" w:hanging="0"/>
              <w:rPr>
                <w:rFonts w:ascii="Times New Roman" w:hAnsi="Times New Roman"/>
              </w:rPr>
            </w:pPr>
            <w:r>
              <w:rPr>
                <w:rFonts w:eastAsia="Calibri" w:ascii="Times New Roman" w:hAnsi="Times New Roman"/>
                <w:color w:val="000000" w:themeColor="text1"/>
                <w:sz w:val="24"/>
                <w:szCs w:val="24"/>
              </w:rPr>
              <w:t xml:space="preserve">Banka: AS „Swedbank” </w:t>
            </w:r>
          </w:p>
          <w:p>
            <w:pPr>
              <w:pStyle w:val="Normal"/>
              <w:spacing w:lineRule="auto" w:line="240" w:before="0" w:after="0"/>
              <w:ind w:left="0" w:right="0" w:hanging="0"/>
              <w:rPr>
                <w:rFonts w:ascii="Times New Roman" w:hAnsi="Times New Roman"/>
              </w:rPr>
            </w:pPr>
            <w:r>
              <w:rPr>
                <w:rFonts w:eastAsia="Calibri" w:ascii="Times New Roman" w:hAnsi="Times New Roman"/>
                <w:color w:val="000000" w:themeColor="text1"/>
                <w:sz w:val="24"/>
                <w:szCs w:val="24"/>
              </w:rPr>
              <w:t>Kods: HABALV22</w:t>
            </w:r>
          </w:p>
          <w:p>
            <w:pPr>
              <w:pStyle w:val="Normal"/>
              <w:suppressAutoHyphens w:val="true"/>
              <w:spacing w:lineRule="auto" w:line="240" w:before="0" w:after="0"/>
              <w:ind w:left="0" w:right="0" w:hanging="0"/>
              <w:rPr>
                <w:rFonts w:ascii="Times New Roman" w:hAnsi="Times New Roman"/>
              </w:rPr>
            </w:pPr>
            <w:r>
              <w:rPr>
                <w:rFonts w:eastAsia="Calibri" w:cs="Times New Roman" w:ascii="Times New Roman" w:hAnsi="Times New Roman"/>
                <w:b w:val="false"/>
                <w:color w:val="000000" w:themeColor="text1"/>
                <w:sz w:val="24"/>
                <w:szCs w:val="24"/>
                <w:lang w:eastAsia="ar-SA"/>
              </w:rPr>
              <w:t>Konts: LV30HABA0551019765652</w:t>
            </w:r>
          </w:p>
          <w:p>
            <w:pPr>
              <w:pStyle w:val="Normal"/>
              <w:spacing w:lineRule="auto" w:line="240" w:before="0" w:after="0"/>
              <w:rPr>
                <w:rFonts w:ascii="Times New Roman" w:hAnsi="Times New Roman" w:eastAsia="Calibri" w:cs="Times New Roman"/>
                <w:b w:val="false"/>
                <w:b w:val="false"/>
                <w:sz w:val="24"/>
                <w:szCs w:val="24"/>
                <w:lang w:eastAsia="lv-LV"/>
              </w:rPr>
            </w:pPr>
            <w:r>
              <w:rPr>
                <w:rFonts w:eastAsia="Calibri" w:cs="Times New Roman" w:ascii="Times New Roman" w:hAnsi="Times New Roman"/>
                <w:b w:val="false"/>
                <w:sz w:val="24"/>
                <w:szCs w:val="24"/>
                <w:lang w:eastAsia="lv-LV"/>
              </w:rPr>
            </w:r>
          </w:p>
        </w:tc>
        <w:tc>
          <w:tcPr>
            <w:tcW w:w="4925" w:type="dxa"/>
            <w:tcBorders/>
            <w:shd w:fill="auto" w:val="clear"/>
          </w:tcPr>
          <w:p>
            <w:pPr>
              <w:pStyle w:val="Normal"/>
              <w:spacing w:lineRule="auto" w:line="240" w:before="0" w:after="0"/>
              <w:rPr>
                <w:rFonts w:ascii="Times New Roman" w:hAnsi="Times New Roman" w:eastAsia="Calibri" w:cs="Times New Roman"/>
                <w:b w:val="false"/>
                <w:b w:val="false"/>
                <w:bCs/>
                <w:sz w:val="24"/>
                <w:szCs w:val="24"/>
                <w:lang w:eastAsia="lv-LV"/>
              </w:rPr>
            </w:pPr>
            <w:r>
              <w:rPr>
                <w:rFonts w:eastAsia="Calibri" w:cs="Times New Roman" w:ascii="Times New Roman" w:hAnsi="Times New Roman"/>
                <w:b w:val="false"/>
                <w:bCs/>
                <w:sz w:val="24"/>
                <w:szCs w:val="24"/>
                <w:lang w:eastAsia="lv-LV"/>
              </w:rPr>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bCs/>
                <w:sz w:val="24"/>
                <w:szCs w:val="24"/>
                <w:lang w:eastAsia="lv-LV"/>
              </w:rPr>
              <w:t>Reģ.nr.</w:t>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bCs/>
                <w:sz w:val="24"/>
                <w:szCs w:val="24"/>
                <w:lang w:eastAsia="lv-LV"/>
              </w:rPr>
              <w:t>Juridiskā adrese:</w:t>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bCs/>
                <w:sz w:val="24"/>
                <w:szCs w:val="24"/>
                <w:lang w:eastAsia="lv-LV"/>
              </w:rPr>
              <w:t>LV-</w:t>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bCs/>
                <w:sz w:val="24"/>
                <w:szCs w:val="24"/>
                <w:lang w:eastAsia="lv-LV"/>
              </w:rPr>
              <w:t xml:space="preserve">Tālr.  / fax </w:t>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bCs/>
                <w:sz w:val="24"/>
                <w:szCs w:val="24"/>
                <w:lang w:eastAsia="lv-LV"/>
              </w:rPr>
              <w:t xml:space="preserve">e-pasts </w:t>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bCs/>
                <w:sz w:val="24"/>
                <w:szCs w:val="24"/>
                <w:lang w:eastAsia="lv-LV"/>
              </w:rPr>
              <w:t>Banka:</w:t>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bCs/>
                <w:sz w:val="24"/>
                <w:szCs w:val="24"/>
                <w:lang w:eastAsia="lv-LV"/>
              </w:rPr>
              <w:t xml:space="preserve">Bankas kods </w:t>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bCs/>
                <w:sz w:val="24"/>
                <w:szCs w:val="24"/>
                <w:lang w:eastAsia="lv-LV"/>
              </w:rPr>
              <w:t>Norēķinu konts:</w:t>
            </w:r>
          </w:p>
          <w:p>
            <w:pPr>
              <w:pStyle w:val="Normal"/>
              <w:spacing w:lineRule="auto" w:line="240" w:before="0" w:after="0"/>
              <w:rPr>
                <w:rFonts w:ascii="Times New Roman" w:hAnsi="Times New Roman" w:eastAsia="Calibri" w:cs="Times New Roman"/>
                <w:b w:val="false"/>
                <w:b w:val="false"/>
                <w:bCs/>
                <w:sz w:val="24"/>
                <w:szCs w:val="24"/>
                <w:lang w:eastAsia="lv-LV"/>
              </w:rPr>
            </w:pPr>
            <w:r>
              <w:rPr>
                <w:rFonts w:eastAsia="Calibri" w:cs="Times New Roman" w:ascii="Times New Roman" w:hAnsi="Times New Roman"/>
                <w:b w:val="false"/>
                <w:bCs/>
                <w:sz w:val="24"/>
                <w:szCs w:val="24"/>
                <w:lang w:eastAsia="lv-LV"/>
              </w:rPr>
            </w:r>
          </w:p>
        </w:tc>
      </w:tr>
      <w:tr>
        <w:trPr>
          <w:trHeight w:val="1026" w:hRule="atLeast"/>
        </w:trPr>
        <w:tc>
          <w:tcPr>
            <w:tcW w:w="4361" w:type="dxa"/>
            <w:tcBorders/>
            <w:shd w:fill="auto" w:val="clear"/>
          </w:tcPr>
          <w:p>
            <w:pPr>
              <w:pStyle w:val="Normal"/>
              <w:spacing w:lineRule="auto" w:line="240" w:before="0" w:after="0"/>
              <w:rPr>
                <w:rFonts w:ascii="Times New Roman" w:hAnsi="Times New Roman" w:eastAsia="Calibri" w:cs="Times New Roman"/>
                <w:b w:val="false"/>
                <w:b w:val="false"/>
                <w:sz w:val="24"/>
                <w:szCs w:val="24"/>
                <w:lang w:eastAsia="lv-LV"/>
              </w:rPr>
            </w:pPr>
            <w:r>
              <w:rPr>
                <w:rFonts w:eastAsia="Calibri" w:cs="Times New Roman" w:ascii="Times New Roman" w:hAnsi="Times New Roman"/>
                <w:b w:val="false"/>
                <w:sz w:val="24"/>
                <w:szCs w:val="24"/>
                <w:lang w:eastAsia="lv-LV"/>
              </w:rPr>
            </w:r>
          </w:p>
          <w:p>
            <w:pPr>
              <w:pStyle w:val="Normal"/>
              <w:spacing w:lineRule="auto" w:line="240" w:before="0" w:after="0"/>
              <w:rPr>
                <w:rFonts w:ascii="Times New Roman" w:hAnsi="Times New Roman" w:eastAsia="Calibri" w:cs="Times New Roman"/>
                <w:b w:val="false"/>
                <w:b w:val="false"/>
                <w:sz w:val="24"/>
                <w:szCs w:val="24"/>
                <w:lang w:eastAsia="lv-LV"/>
              </w:rPr>
            </w:pPr>
            <w:r>
              <w:rPr>
                <w:rFonts w:eastAsia="Calibri" w:cs="Times New Roman" w:ascii="Times New Roman" w:hAnsi="Times New Roman"/>
                <w:b w:val="false"/>
                <w:sz w:val="24"/>
                <w:szCs w:val="24"/>
                <w:lang w:eastAsia="lv-LV"/>
              </w:rPr>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sz w:val="24"/>
                <w:szCs w:val="24"/>
                <w:lang w:eastAsia="lv-LV"/>
              </w:rPr>
              <w:t>Priekšsēdētājs _________J.Veits</w:t>
            </w:r>
          </w:p>
          <w:p>
            <w:pPr>
              <w:pStyle w:val="Normal"/>
              <w:spacing w:lineRule="auto" w:line="240" w:before="0" w:after="0"/>
              <w:rPr>
                <w:rFonts w:ascii="Times New Roman" w:hAnsi="Times New Roman" w:eastAsia="Calibri" w:cs="Times New Roman"/>
                <w:b w:val="false"/>
                <w:b w:val="false"/>
                <w:sz w:val="24"/>
                <w:szCs w:val="24"/>
                <w:lang w:eastAsia="lv-LV"/>
              </w:rPr>
            </w:pPr>
            <w:r>
              <w:rPr>
                <w:rFonts w:eastAsia="Calibri" w:cs="Times New Roman" w:ascii="Times New Roman" w:hAnsi="Times New Roman"/>
                <w:b w:val="false"/>
                <w:sz w:val="24"/>
                <w:szCs w:val="24"/>
                <w:lang w:eastAsia="lv-LV"/>
              </w:rPr>
            </w:r>
          </w:p>
        </w:tc>
        <w:tc>
          <w:tcPr>
            <w:tcW w:w="4925" w:type="dxa"/>
            <w:tcBorders/>
            <w:shd w:fill="auto" w:val="clear"/>
          </w:tcPr>
          <w:p>
            <w:pPr>
              <w:pStyle w:val="Normal"/>
              <w:spacing w:lineRule="auto" w:line="240" w:before="0" w:after="0"/>
              <w:rPr>
                <w:rFonts w:ascii="Times New Roman" w:hAnsi="Times New Roman" w:eastAsia="Calibri" w:cs="Times New Roman"/>
                <w:bCs/>
                <w:sz w:val="24"/>
                <w:szCs w:val="24"/>
                <w:lang w:eastAsia="lv-LV"/>
              </w:rPr>
            </w:pPr>
            <w:r>
              <w:rPr>
                <w:rFonts w:eastAsia="Calibri" w:cs="Times New Roman" w:ascii="Times New Roman" w:hAnsi="Times New Roman"/>
                <w:bCs/>
                <w:sz w:val="24"/>
                <w:szCs w:val="24"/>
                <w:lang w:eastAsia="lv-LV"/>
              </w:rPr>
            </w:r>
          </w:p>
          <w:p>
            <w:pPr>
              <w:pStyle w:val="Normal"/>
              <w:spacing w:lineRule="auto" w:line="240" w:before="0" w:after="0"/>
              <w:rPr>
                <w:rFonts w:ascii="Times New Roman" w:hAnsi="Times New Roman" w:eastAsia="Calibri" w:cs="Times New Roman"/>
                <w:bCs/>
                <w:sz w:val="24"/>
                <w:szCs w:val="24"/>
                <w:lang w:eastAsia="lv-LV"/>
              </w:rPr>
            </w:pPr>
            <w:r>
              <w:rPr>
                <w:rFonts w:eastAsia="Calibri" w:cs="Times New Roman" w:ascii="Times New Roman" w:hAnsi="Times New Roman"/>
                <w:bCs/>
                <w:sz w:val="24"/>
                <w:szCs w:val="24"/>
                <w:lang w:eastAsia="lv-LV"/>
              </w:rPr>
            </w:r>
          </w:p>
          <w:p>
            <w:pPr>
              <w:pStyle w:val="Normal"/>
              <w:spacing w:lineRule="auto" w:line="240" w:before="0" w:after="0"/>
              <w:rPr>
                <w:rFonts w:ascii="Times New Roman" w:hAnsi="Times New Roman"/>
                <w:sz w:val="24"/>
                <w:szCs w:val="24"/>
              </w:rPr>
            </w:pPr>
            <w:r>
              <w:rPr>
                <w:rFonts w:eastAsia="Calibri" w:cs="Times New Roman" w:ascii="Times New Roman" w:hAnsi="Times New Roman"/>
                <w:b w:val="false"/>
                <w:bCs w:val="false"/>
                <w:sz w:val="24"/>
                <w:szCs w:val="24"/>
                <w:lang w:eastAsia="lv-LV"/>
              </w:rPr>
              <w:t>Pārdevējs</w:t>
            </w:r>
            <w:r>
              <w:rPr>
                <w:rFonts w:eastAsia="Calibri" w:cs="Times New Roman" w:ascii="Times New Roman" w:hAnsi="Times New Roman"/>
                <w:b w:val="false"/>
                <w:bCs/>
                <w:sz w:val="24"/>
                <w:szCs w:val="24"/>
                <w:lang w:eastAsia="lv-LV"/>
              </w:rPr>
              <w:t>__________</w:t>
            </w:r>
          </w:p>
        </w:tc>
      </w:tr>
    </w:tbl>
    <w:p>
      <w:pPr>
        <w:pStyle w:val="Normal"/>
        <w:spacing w:lineRule="auto" w:line="240" w:before="0" w:after="0"/>
        <w:ind w:left="2550" w:firstLine="330"/>
        <w:rPr>
          <w:rFonts w:eastAsia="Calibri" w:cs="Times New Roman"/>
          <w:b/>
          <w:b/>
        </w:rPr>
      </w:pPr>
      <w:r>
        <w:rPr>
          <w:rFonts w:eastAsia="Calibri" w:cs="Times New Roman"/>
          <w:b/>
        </w:rPr>
      </w:r>
    </w:p>
    <w:p>
      <w:pPr>
        <w:pStyle w:val="Normal"/>
        <w:ind w:left="2550" w:firstLine="330"/>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spacing w:lineRule="auto" w:line="240" w:before="0" w:after="0"/>
        <w:ind w:firstLine="72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spacing w:lineRule="auto" w:line="240" w:before="0" w:after="0"/>
        <w:ind w:firstLine="72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spacing w:lineRule="auto" w:line="240" w:before="0" w:after="0"/>
        <w:ind w:firstLine="72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spacing w:lineRule="auto" w:line="240" w:before="0" w:after="0"/>
        <w:ind w:firstLine="720"/>
        <w:jc w:val="both"/>
        <w:rPr>
          <w:rFonts w:ascii="Times New Roman" w:hAnsi="Times New Roman" w:eastAsia="Times New Roman" w:cs="Times New Roman"/>
          <w:sz w:val="24"/>
          <w:szCs w:val="24"/>
          <w:lang w:eastAsia="lv-LV"/>
        </w:rPr>
      </w:pPr>
      <w:r>
        <w:rPr>
          <w:rFonts w:eastAsia="Times New Roman" w:cs="Times New Roman" w:ascii="Times New Roman" w:hAnsi="Times New Roman"/>
          <w:sz w:val="24"/>
          <w:szCs w:val="24"/>
          <w:lang w:eastAsia="lv-LV"/>
        </w:rPr>
      </w:r>
    </w:p>
    <w:p>
      <w:pPr>
        <w:pStyle w:val="Normal"/>
        <w:spacing w:lineRule="auto" w:line="240" w:before="0" w:after="0"/>
        <w:ind w:firstLine="720"/>
        <w:jc w:val="both"/>
        <w:rPr>
          <w:rFonts w:ascii="Times New Roman" w:hAnsi="Times New Roman" w:eastAsia="Times New Roman" w:cs="Times New Roman"/>
          <w:lang w:eastAsia="lv-LV"/>
        </w:rPr>
      </w:pPr>
      <w:r>
        <w:rPr>
          <w:rFonts w:eastAsia="Times New Roman" w:cs="Times New Roman" w:ascii="Times New Roman" w:hAnsi="Times New Roman"/>
          <w:lang w:eastAsia="lv-LV"/>
        </w:rPr>
      </w:r>
    </w:p>
    <w:p>
      <w:pPr>
        <w:pStyle w:val="Normal"/>
        <w:spacing w:lineRule="auto" w:line="240" w:before="0" w:after="0"/>
        <w:ind w:firstLine="720"/>
        <w:jc w:val="both"/>
        <w:rPr>
          <w:rFonts w:ascii="Times New Roman" w:hAnsi="Times New Roman" w:eastAsia="Times New Roman" w:cs="Times New Roman"/>
          <w:lang w:eastAsia="lv-LV"/>
        </w:rPr>
      </w:pPr>
      <w:r>
        <w:rPr>
          <w:rFonts w:eastAsia="Times New Roman" w:cs="Times New Roman" w:ascii="Times New Roman" w:hAnsi="Times New Roman"/>
          <w:lang w:eastAsia="lv-LV"/>
        </w:rPr>
      </w:r>
    </w:p>
    <w:p>
      <w:pPr>
        <w:pStyle w:val="Normal"/>
        <w:spacing w:lineRule="auto" w:line="240" w:before="0" w:after="0"/>
        <w:ind w:firstLine="720"/>
        <w:jc w:val="both"/>
        <w:rPr>
          <w:rFonts w:ascii="Times New Roman" w:hAnsi="Times New Roman" w:eastAsia="Times New Roman" w:cs="Times New Roman"/>
          <w:lang w:eastAsia="lv-LV"/>
        </w:rPr>
      </w:pPr>
      <w:r>
        <w:rPr>
          <w:rFonts w:eastAsia="Times New Roman" w:cs="Times New Roman" w:ascii="Times New Roman" w:hAnsi="Times New Roman"/>
          <w:lang w:eastAsia="lv-LV"/>
        </w:rPr>
      </w:r>
    </w:p>
    <w:p>
      <w:pPr>
        <w:pStyle w:val="Normal"/>
        <w:spacing w:lineRule="auto" w:line="240" w:before="0" w:after="0"/>
        <w:ind w:firstLine="720"/>
        <w:jc w:val="both"/>
        <w:rPr>
          <w:rFonts w:ascii="Times New Roman" w:hAnsi="Times New Roman" w:eastAsia="Times New Roman" w:cs="Times New Roman"/>
          <w:lang w:eastAsia="lv-LV"/>
        </w:rPr>
      </w:pPr>
      <w:r>
        <w:rPr>
          <w:rFonts w:eastAsia="Times New Roman" w:cs="Times New Roman" w:ascii="Times New Roman" w:hAnsi="Times New Roman"/>
          <w:lang w:eastAsia="lv-LV"/>
        </w:rPr>
      </w:r>
    </w:p>
    <w:p>
      <w:pPr>
        <w:pStyle w:val="Normal"/>
        <w:spacing w:lineRule="auto" w:line="240" w:before="0" w:after="0"/>
        <w:ind w:firstLine="720"/>
        <w:jc w:val="both"/>
        <w:rPr/>
      </w:pPr>
      <w:r>
        <w:rPr/>
      </w:r>
    </w:p>
    <w:sectPr>
      <w:footerReference w:type="default" r:id="rId8"/>
      <w:footnotePr>
        <w:numFmt w:val="decimal"/>
      </w:footnotePr>
      <w:type w:val="nextPage"/>
      <w:pgSz w:w="11906" w:h="16838"/>
      <w:pgMar w:left="1701" w:right="1134" w:header="0" w:top="85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libri Light">
    <w:charset w:val="ba"/>
    <w:family w:val="roman"/>
    <w:pitch w:val="variable"/>
  </w:font>
  <w:font w:name="Arial">
    <w:charset w:val="ba"/>
    <w:family w:val="roman"/>
    <w:pitch w:val="variable"/>
  </w:font>
  <w:font w:name="Segoe UI">
    <w:charset w:val="ba"/>
    <w:family w:val="roman"/>
    <w:pitch w:val="variable"/>
  </w:font>
  <w:font w:name="Symbol">
    <w:charset w:val="ba"/>
    <w:family w:val="roman"/>
    <w:pitch w:val="variable"/>
  </w:font>
  <w:font w:name="Liberation Sans">
    <w:altName w:val="Arial"/>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9462533"/>
    </w:sdtPr>
    <w:sdtContent>
      <w:p>
        <w:pPr>
          <w:pStyle w:val="Kjene"/>
          <w:jc w:val="right"/>
          <w:rPr/>
        </w:pP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18</w:t>
        </w:r>
        <w:r>
          <w:rPr>
            <w:sz w:val="20"/>
            <w:szCs w:val="20"/>
            <w:rFonts w:cs="Times New Roman" w:ascii="Times New Roman" w:hAnsi="Times New Roman"/>
          </w:rPr>
          <w:fldChar w:fldCharType="end"/>
        </w:r>
      </w:p>
    </w:sdtContent>
  </w:sdt>
  <w:p>
    <w:pPr>
      <w:pStyle w:val="Kjene"/>
      <w:rPr>
        <w:rFonts w:ascii="Times New Roman" w:hAnsi="Times New Roman" w:cs="Times New Roman"/>
        <w:sz w:val="20"/>
        <w:szCs w:val="20"/>
      </w:rPr>
    </w:pPr>
    <w:r>
      <w:rPr>
        <w:rFonts w:cs="Times New Roman" w:ascii="Times New Roman" w:hAnsi="Times New Roman"/>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Vre"/>
        <w:rPr/>
      </w:pPr>
      <w:r>
        <w:rPr>
          <w:rStyle w:val="Vresrakstzmes"/>
        </w:rPr>
        <w:footnoteRef/>
      </w:r>
      <w:r>
        <w:rPr>
          <w:sz w:val="18"/>
          <w:szCs w:val="18"/>
        </w:rPr>
        <w:t xml:space="preserve"> </w:t>
      </w:r>
      <w:r>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pPr>
        <w:pStyle w:val="ListParagraph"/>
        <w:spacing w:before="0" w:after="0"/>
        <w:ind w:left="0" w:hanging="0"/>
        <w:contextualSpacing/>
        <w:jc w:val="both"/>
        <w:rPr>
          <w:rFonts w:ascii="Times New Roman" w:hAnsi="Times New Roman" w:eastAsia="Times New Roman" w:cs="Times New Roman"/>
          <w:sz w:val="18"/>
          <w:szCs w:val="18"/>
          <w:lang w:eastAsia="ar-SA"/>
        </w:rPr>
      </w:pPr>
      <w:r>
        <w:rPr>
          <w:rStyle w:val="Vresrakstzmes"/>
        </w:rPr>
        <w:footnoteRef/>
      </w:r>
      <w:r>
        <w:rPr/>
        <w:t xml:space="preserve"> </w:t>
      </w:r>
      <w:r>
        <w:rPr>
          <w:rFonts w:eastAsia="Times New Roman" w:cs="Times New Roman" w:ascii="Times New Roman" w:hAnsi="Times New Roman"/>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pPr>
        <w:pStyle w:val="ListParagraph"/>
        <w:spacing w:before="0" w:after="0"/>
        <w:ind w:left="0" w:hanging="0"/>
        <w:contextualSpacing/>
        <w:jc w:val="both"/>
        <w:rPr/>
      </w:pPr>
      <w:r>
        <w:rPr>
          <w:rFonts w:eastAsia="Times New Roman" w:cs="Times New Roman" w:ascii="Times New Roman" w:hAnsi="Times New Roman"/>
          <w:sz w:val="18"/>
          <w:szCs w:val="18"/>
          <w:lang w:eastAsia="ar-SA"/>
        </w:rPr>
        <w:t>Apakšuzņēmēja veicamo būvdarbu vai sniedzamo pakalpojumu kopējo vērtību noteic saskaņā ar PIL 63.panta trešo daļu.</w:t>
      </w:r>
    </w:p>
  </w:footnote>
  <w:footnote w:id="4">
    <w:p>
      <w:pPr>
        <w:pStyle w:val="Vre"/>
        <w:jc w:val="both"/>
        <w:rPr/>
      </w:pPr>
      <w:r>
        <w:rPr>
          <w:rStyle w:val="Vresrakstzmes"/>
        </w:rPr>
        <w:footnoteRef/>
      </w:r>
      <w:r>
        <w:rPr/>
        <w:t xml:space="preserve"> </w:t>
      </w:r>
      <w:r>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pPr>
        <w:pStyle w:val="Vre"/>
        <w:jc w:val="both"/>
        <w:rPr/>
      </w:pPr>
      <w:r>
        <w:rPr>
          <w:rStyle w:val="Vresrakstzmes"/>
        </w:rPr>
        <w:footnoteRef/>
      </w:r>
      <w:r>
        <w:rPr/>
        <w:t xml:space="preserve"> </w:t>
      </w:r>
      <w:r>
        <w:rPr/>
        <w:t xml:space="preserve">Latvijas Republikā spēkā </w:t>
      </w:r>
      <w:r>
        <w:rPr>
          <w:rFonts w:eastAsia="Helvetica"/>
        </w:rPr>
        <w:t>Ministru kabineta 2000.gada 22.augusta noteikumi Nr.291 “Kārtība, kādā apliecināmi dokumentu tulkojumi valsts valodā”, skatīt:</w:t>
      </w:r>
      <w:r>
        <w:rPr/>
        <w:t xml:space="preserve"> </w:t>
      </w:r>
      <w:hyperlink r:id="rId1">
        <w:r>
          <w:rPr>
            <w:rStyle w:val="Internetasaite"/>
            <w:rFonts w:eastAsia="Helvetica"/>
          </w:rPr>
          <w:t>http://likumi.lv/doc.php?id=10127</w:t>
        </w:r>
      </w:hyperlink>
      <w:r>
        <w:rPr>
          <w:rFonts w:eastAsia="Helvetica"/>
        </w:rPr>
        <w:t xml:space="preserve">. </w:t>
      </w:r>
    </w:p>
  </w:footnote>
  <w:footnote w:id="6">
    <w:p>
      <w:pPr>
        <w:pStyle w:val="Vre"/>
        <w:jc w:val="both"/>
        <w:rPr/>
      </w:pPr>
      <w:r>
        <w:rPr>
          <w:rStyle w:val="Vresrakstzmes"/>
        </w:rPr>
        <w:footnoteRef/>
      </w:r>
      <w:r>
        <w:rPr/>
        <w:t xml:space="preserve"> </w:t>
      </w:r>
      <w:r>
        <w:rPr/>
        <w:t xml:space="preserve">Latvijas Republikā spēkā </w:t>
      </w:r>
      <w:r>
        <w:rPr>
          <w:rFonts w:eastAsia="Helvetica"/>
        </w:rPr>
        <w:t xml:space="preserve">Ministru kabineta 2010.gada 28.septembra noteikumu Nr.916 „Dokumentu izstrādāšanas un noformēšanas kārtība” , skatīt: </w:t>
      </w:r>
      <w:hyperlink r:id="rId2">
        <w:r>
          <w:rPr>
            <w:rStyle w:val="Internetasaite"/>
            <w:rFonts w:eastAsia="Helvetica"/>
          </w:rPr>
          <w:t>http://likumi.lv/doc.php?id=219491</w:t>
        </w:r>
      </w:hyperlink>
      <w:r>
        <w:rPr>
          <w:rFonts w:eastAsia="Helvetica"/>
        </w:rPr>
        <w:t>.</w:t>
      </w:r>
    </w:p>
  </w:footnote>
  <w:footnote w:id="7">
    <w:p>
      <w:pPr>
        <w:pStyle w:val="Vre"/>
        <w:rPr/>
      </w:pPr>
      <w:r>
        <w:rPr>
          <w:rStyle w:val="Vresrakstzmes"/>
        </w:rPr>
        <w:footnoteRef/>
      </w:r>
      <w:r>
        <w:rPr/>
        <w:t xml:space="preserve"> </w:t>
      </w:r>
      <w:r>
        <w:rPr/>
        <w:t xml:space="preserve">Eiropas vienotais iepirkuma procedūras dokuments (ESPD) (vietnē </w:t>
      </w:r>
      <w:hyperlink r:id="rId3">
        <w:r>
          <w:rPr>
            <w:rStyle w:val="Internetasaite"/>
          </w:rPr>
          <w:t>https://ec.europa.eu/growth/tools-databases/espd/filter?lang=lv</w:t>
        </w:r>
      </w:hyperlink>
      <w:r>
        <w:rPr/>
        <w:t>)</w:t>
      </w:r>
    </w:p>
    <w:p>
      <w:pPr>
        <w:pStyle w:val="Vre"/>
        <w:rPr/>
      </w:pPr>
      <w:r>
        <w:rPr/>
      </w:r>
    </w:p>
    <w:p>
      <w:pPr>
        <w:pStyle w:val="Vre"/>
        <w:rPr/>
      </w:pPr>
      <w:r>
        <w:rPr/>
      </w:r>
    </w:p>
    <w:p>
      <w:pPr>
        <w:pStyle w:val="Vre"/>
        <w:rPr/>
      </w:pPr>
      <w:r>
        <w:rPr/>
      </w:r>
    </w:p>
    <w:p>
      <w:pPr>
        <w:pStyle w:val="Vre"/>
        <w:rPr/>
      </w:pPr>
      <w:r>
        <w:rPr/>
      </w:r>
    </w:p>
    <w:p>
      <w:pPr>
        <w:pStyle w:val="Vre"/>
        <w:rPr/>
      </w:pPr>
      <w:r>
        <w:rPr/>
      </w:r>
    </w:p>
    <w:p>
      <w:pPr>
        <w:pStyle w:val="Vre"/>
        <w:rPr/>
      </w:pPr>
      <w:r>
        <w:rPr/>
      </w:r>
    </w:p>
    <w:p>
      <w:pPr>
        <w:pStyle w:val="Vre"/>
        <w:rPr/>
      </w:pPr>
      <w:r>
        <w:rPr/>
      </w:r>
    </w:p>
    <w:p>
      <w:pPr>
        <w:pStyle w:val="Vre"/>
        <w:rPr/>
      </w:pPr>
      <w:r>
        <w:rPr/>
      </w:r>
    </w:p>
    <w:p>
      <w:pPr>
        <w:pStyle w:val="Vre"/>
        <w:rPr/>
      </w:pPr>
      <w:r>
        <w:rPr/>
      </w:r>
    </w:p>
    <w:p>
      <w:pPr>
        <w:pStyle w:val="Vr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Virsraksts1"/>
      <w:numFmt w:val="none"/>
      <w:suff w:val="nothing"/>
      <w:lvlText w:val=""/>
      <w:lvlJc w:val="left"/>
      <w:pPr>
        <w:ind w:left="0" w:hanging="0"/>
      </w:pPr>
    </w:lvl>
    <w:lvl w:ilvl="1">
      <w:start w:val="1"/>
      <w:numFmt w:val="none"/>
      <w:suff w:val="nothing"/>
      <w:lvlText w:val=""/>
      <w:lvlJc w:val="left"/>
      <w:pPr>
        <w:ind w:left="0" w:hanging="0"/>
      </w:pPr>
    </w:lvl>
    <w:lvl w:ilvl="2">
      <w:start w:val="1"/>
      <w:pStyle w:val="Virsrakst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Virsraksts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lowerLetter"/>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1"/>
      <w:numFmt w:val="decimal"/>
      <w:lvlText w:val="%1."/>
      <w:lvlJc w:val="left"/>
      <w:pPr>
        <w:ind w:left="720" w:hanging="360"/>
      </w:pPr>
      <w:rPr>
        <w:rFonts w:ascii="Times New Roman" w:hAnsi="Times New Roman"/>
        <w:color w:val="auto"/>
      </w:rPr>
    </w:lvl>
    <w:lvl w:ilvl="1">
      <w:start w:val="2"/>
      <w:numFmt w:val="decimal"/>
      <w:lvlText w:val="%1.%2."/>
      <w:lvlJc w:val="left"/>
      <w:pPr>
        <w:ind w:left="786" w:hanging="360"/>
      </w:pPr>
      <w:rPr>
        <w:b w:val="false"/>
      </w:rPr>
    </w:lvl>
    <w:lvl w:ilvl="2">
      <w:start w:val="1"/>
      <w:numFmt w:val="decimal"/>
      <w:lvlText w:val="%1.%2.%3."/>
      <w:lvlJc w:val="left"/>
      <w:pPr>
        <w:ind w:left="1212" w:hanging="720"/>
      </w:pPr>
      <w:rPr>
        <w:b w:val="false"/>
      </w:rPr>
    </w:lvl>
    <w:lvl w:ilvl="3">
      <w:start w:val="1"/>
      <w:numFmt w:val="decimal"/>
      <w:lvlText w:val="%1.%2.%3.%4."/>
      <w:lvlJc w:val="left"/>
      <w:pPr>
        <w:ind w:left="1278" w:hanging="720"/>
      </w:pPr>
      <w:rPr>
        <w:b w:val="false"/>
      </w:rPr>
    </w:lvl>
    <w:lvl w:ilvl="4">
      <w:start w:val="1"/>
      <w:numFmt w:val="decimal"/>
      <w:lvlText w:val="%1.%2.%3.%4.%5."/>
      <w:lvlJc w:val="left"/>
      <w:pPr>
        <w:ind w:left="1704" w:hanging="1080"/>
      </w:pPr>
      <w:rPr>
        <w:b w:val="false"/>
      </w:rPr>
    </w:lvl>
    <w:lvl w:ilvl="5">
      <w:start w:val="1"/>
      <w:numFmt w:val="decimal"/>
      <w:lvlText w:val="%1.%2.%3.%4.%5.%6."/>
      <w:lvlJc w:val="left"/>
      <w:pPr>
        <w:ind w:left="1770" w:hanging="1080"/>
      </w:pPr>
      <w:rPr>
        <w:b w:val="false"/>
      </w:rPr>
    </w:lvl>
    <w:lvl w:ilvl="6">
      <w:start w:val="1"/>
      <w:numFmt w:val="decimal"/>
      <w:lvlText w:val="%1.%2.%3.%4.%5.%6.%7."/>
      <w:lvlJc w:val="left"/>
      <w:pPr>
        <w:ind w:left="2196" w:hanging="1440"/>
      </w:pPr>
      <w:rPr>
        <w:b w:val="false"/>
      </w:rPr>
    </w:lvl>
    <w:lvl w:ilvl="7">
      <w:start w:val="1"/>
      <w:numFmt w:val="decimal"/>
      <w:lvlText w:val="%1.%2.%3.%4.%5.%6.%7.%8."/>
      <w:lvlJc w:val="left"/>
      <w:pPr>
        <w:ind w:left="2262" w:hanging="1440"/>
      </w:pPr>
      <w:rPr>
        <w:b w:val="false"/>
      </w:rPr>
    </w:lvl>
    <w:lvl w:ilvl="8">
      <w:start w:val="1"/>
      <w:numFmt w:val="decimal"/>
      <w:lvlText w:val="%1.%2.%3.%4.%5.%6.%7.%8.%9."/>
      <w:lvlJc w:val="left"/>
      <w:pPr>
        <w:ind w:left="2688" w:hanging="1800"/>
      </w:pPr>
      <w:rPr>
        <w:b w:val="false"/>
      </w:rPr>
    </w:lvl>
  </w:abstractNum>
  <w:abstractNum w:abstractNumId="6">
    <w:lvl w:ilvl="0">
      <w:start w:val="1"/>
      <w:numFmt w:val="decimal"/>
      <w:lvlText w:val="%1."/>
      <w:lvlJc w:val="left"/>
      <w:pPr>
        <w:ind w:left="720" w:hanging="360"/>
      </w:pPr>
    </w:lvl>
    <w:lvl w:ilvl="1">
      <w:start w:val="8"/>
      <w:numFmt w:val="decimal"/>
      <w:lvlText w:val="%1.%2."/>
      <w:lvlJc w:val="left"/>
      <w:pPr>
        <w:ind w:left="720" w:hanging="360"/>
      </w:pPr>
      <w:rPr>
        <w:b w:val="false"/>
      </w:rPr>
    </w:lvl>
    <w:lvl w:ilvl="2">
      <w:start w:val="1"/>
      <w:numFmt w:val="decimal"/>
      <w:lvlText w:val="%1.%2.%3."/>
      <w:lvlJc w:val="left"/>
      <w:pPr>
        <w:ind w:left="1080" w:hanging="720"/>
      </w:pPr>
      <w:rPr>
        <w:b w:val="false"/>
      </w:rPr>
    </w:lvl>
    <w:lvl w:ilvl="3">
      <w:start w:val="1"/>
      <w:numFmt w:val="decimal"/>
      <w:lvlText w:val="%1.%2.%3.%4."/>
      <w:lvlJc w:val="left"/>
      <w:pPr>
        <w:ind w:left="1080" w:hanging="720"/>
      </w:pPr>
      <w:rPr>
        <w:b w:val="false"/>
      </w:rPr>
    </w:lvl>
    <w:lvl w:ilvl="4">
      <w:start w:val="1"/>
      <w:numFmt w:val="decimal"/>
      <w:lvlText w:val="%1.%2.%3.%4.%5."/>
      <w:lvlJc w:val="left"/>
      <w:pPr>
        <w:ind w:left="1440" w:hanging="1080"/>
      </w:pPr>
      <w:rPr>
        <w:b w:val="false"/>
      </w:rPr>
    </w:lvl>
    <w:lvl w:ilvl="5">
      <w:start w:val="1"/>
      <w:numFmt w:val="decimal"/>
      <w:lvlText w:val="%1.%2.%3.%4.%5.%6."/>
      <w:lvlJc w:val="left"/>
      <w:pPr>
        <w:ind w:left="1440" w:hanging="1080"/>
      </w:pPr>
      <w:rPr>
        <w:b w:val="false"/>
      </w:rPr>
    </w:lvl>
    <w:lvl w:ilvl="6">
      <w:start w:val="1"/>
      <w:numFmt w:val="decimal"/>
      <w:lvlText w:val="%1.%2.%3.%4.%5.%6.%7."/>
      <w:lvlJc w:val="left"/>
      <w:pPr>
        <w:ind w:left="1800" w:hanging="1440"/>
      </w:pPr>
      <w:rPr>
        <w:b w:val="false"/>
      </w:rPr>
    </w:lvl>
    <w:lvl w:ilvl="7">
      <w:start w:val="1"/>
      <w:numFmt w:val="decimal"/>
      <w:lvlText w:val="%1.%2.%3.%4.%5.%6.%7.%8."/>
      <w:lvlJc w:val="left"/>
      <w:pPr>
        <w:ind w:left="1800" w:hanging="1440"/>
      </w:pPr>
      <w:rPr>
        <w:b w:val="false"/>
      </w:rPr>
    </w:lvl>
    <w:lvl w:ilvl="8">
      <w:start w:val="1"/>
      <w:numFmt w:val="decimal"/>
      <w:lvlText w:val="%1.%2.%3.%4.%5.%6.%7.%8.%9."/>
      <w:lvlJc w:val="left"/>
      <w:pPr>
        <w:ind w:left="2160" w:hanging="1800"/>
      </w:pPr>
      <w:rPr>
        <w:b w:val="false"/>
      </w:rPr>
    </w:lvl>
  </w:abstractNum>
  <w:abstractNum w:abstractNumId="7">
    <w:lvl w:ilvl="0">
      <w:start w:val="8"/>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360" w:hanging="360"/>
      </w:pPr>
    </w:lvl>
    <w:lvl w:ilvl="1">
      <w:start w:val="1"/>
      <w:numFmt w:val="decimal"/>
      <w:lvlText w:val="%1.%2."/>
      <w:lvlJc w:val="left"/>
      <w:pPr>
        <w:ind w:left="360" w:hanging="360"/>
      </w:pPr>
      <w:rPr>
        <w:b w:val="false"/>
      </w:rPr>
    </w:lvl>
    <w:lvl w:ilvl="2">
      <w:start w:val="1"/>
      <w:numFmt w:val="decimal"/>
      <w:lvlText w:val="%1.%2.%3."/>
      <w:lvlJc w:val="left"/>
      <w:pPr>
        <w:ind w:left="862" w:hanging="720"/>
      </w:pPr>
      <w:rPr>
        <w:b w:val="fals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lvl w:ilvl="0">
      <w:start w:val="2"/>
      <w:numFmt w:val="decimal"/>
      <w:lvlText w:val="%1."/>
      <w:lvlJc w:val="left"/>
      <w:pPr>
        <w:ind w:left="360" w:hanging="360"/>
      </w:pPr>
    </w:lvl>
    <w:lvl w:ilvl="1">
      <w:start w:val="1"/>
      <w:numFmt w:val="decimal"/>
      <w:lvlText w:val="%1.%2."/>
      <w:lvlJc w:val="left"/>
      <w:pPr>
        <w:ind w:left="360" w:hanging="360"/>
      </w:pPr>
      <w:rPr>
        <w:sz w:val="24"/>
        <w:b/>
        <w:bCs w:val="false"/>
        <w:rFonts w:ascii="Times New Roman" w:hAnsi="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lvl w:ilvl="0">
      <w:start w:val="3"/>
      <w:numFmt w:val="decimal"/>
      <w:lvlText w:val="%1."/>
      <w:lvlJc w:val="left"/>
      <w:pPr>
        <w:ind w:left="360" w:hanging="360"/>
      </w:pPr>
      <w:rPr>
        <w:rFonts w:eastAsia="Times New Roman" w:cs=""/>
      </w:rPr>
    </w:lvl>
    <w:lvl w:ilvl="1">
      <w:start w:val="1"/>
      <w:numFmt w:val="decimal"/>
      <w:lvlText w:val="%1.%2."/>
      <w:lvlJc w:val="left"/>
      <w:pPr>
        <w:ind w:left="360" w:hanging="360"/>
      </w:pPr>
      <w:rPr>
        <w:sz w:val="24"/>
        <w:b w:val="false"/>
        <w:szCs w:val="24"/>
        <w:bCs w:val="false"/>
        <w:rFonts w:ascii="Times New Roman" w:hAnsi="Times New Roman" w:eastAsia="Times New Roman" w:cs=""/>
      </w:rPr>
    </w:lvl>
    <w:lvl w:ilvl="2">
      <w:start w:val="1"/>
      <w:numFmt w:val="decimal"/>
      <w:lvlText w:val="%1.%2.%3."/>
      <w:lvlJc w:val="left"/>
      <w:pPr>
        <w:ind w:left="720" w:hanging="720"/>
      </w:pPr>
      <w:rPr>
        <w:rFonts w:eastAsia="Times New Roman" w:cs=""/>
      </w:rPr>
    </w:lvl>
    <w:lvl w:ilvl="3">
      <w:start w:val="1"/>
      <w:numFmt w:val="decimal"/>
      <w:lvlText w:val="%1.%2.%3.%4."/>
      <w:lvlJc w:val="left"/>
      <w:pPr>
        <w:ind w:left="720" w:hanging="720"/>
      </w:pPr>
      <w:rPr>
        <w:rFonts w:eastAsia="Times New Roman" w:cs=""/>
      </w:rPr>
    </w:lvl>
    <w:lvl w:ilvl="4">
      <w:start w:val="1"/>
      <w:numFmt w:val="decimal"/>
      <w:lvlText w:val="%1.%2.%3.%4.%5."/>
      <w:lvlJc w:val="left"/>
      <w:pPr>
        <w:ind w:left="1080" w:hanging="1080"/>
      </w:pPr>
      <w:rPr>
        <w:rFonts w:eastAsia="Times New Roman" w:cs=""/>
      </w:rPr>
    </w:lvl>
    <w:lvl w:ilvl="5">
      <w:start w:val="1"/>
      <w:numFmt w:val="decimal"/>
      <w:lvlText w:val="%1.%2.%3.%4.%5.%6."/>
      <w:lvlJc w:val="left"/>
      <w:pPr>
        <w:ind w:left="1080" w:hanging="1080"/>
      </w:pPr>
      <w:rPr>
        <w:rFonts w:eastAsia="Times New Roman" w:cs=""/>
      </w:rPr>
    </w:lvl>
    <w:lvl w:ilvl="6">
      <w:start w:val="1"/>
      <w:numFmt w:val="decimal"/>
      <w:lvlText w:val="%1.%2.%3.%4.%5.%6.%7."/>
      <w:lvlJc w:val="left"/>
      <w:pPr>
        <w:ind w:left="1440" w:hanging="1440"/>
      </w:pPr>
      <w:rPr>
        <w:rFonts w:eastAsia="Times New Roman" w:cs=""/>
      </w:rPr>
    </w:lvl>
    <w:lvl w:ilvl="7">
      <w:start w:val="1"/>
      <w:numFmt w:val="decimal"/>
      <w:lvlText w:val="%1.%2.%3.%4.%5.%6.%7.%8."/>
      <w:lvlJc w:val="left"/>
      <w:pPr>
        <w:ind w:left="1440" w:hanging="1440"/>
      </w:pPr>
      <w:rPr>
        <w:rFonts w:eastAsia="Times New Roman" w:cs=""/>
      </w:rPr>
    </w:lvl>
    <w:lvl w:ilvl="8">
      <w:start w:val="1"/>
      <w:numFmt w:val="decimal"/>
      <w:lvlText w:val="%1.%2.%3.%4.%5.%6.%7.%8.%9."/>
      <w:lvlJc w:val="left"/>
      <w:pPr>
        <w:ind w:left="1800" w:hanging="1800"/>
      </w:pPr>
      <w:rPr>
        <w:rFonts w:eastAsia="Times New Roman" w:cs=""/>
      </w:rPr>
    </w:lvl>
  </w:abstractNum>
  <w:abstractNum w:abstractNumId="13">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sz w:val="24"/>
        <w:rFonts w:ascii="Times New Roman" w:hAnsi="Times New Roman"/>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lvl w:ilvl="0">
      <w:start w:val="7"/>
      <w:numFmt w:val="decimal"/>
      <w:lvlText w:val="%1."/>
      <w:lvlJc w:val="left"/>
      <w:pPr>
        <w:ind w:left="360" w:hanging="360"/>
      </w:pPr>
    </w:lvl>
    <w:lvl w:ilvl="1">
      <w:start w:val="1"/>
      <w:numFmt w:val="decimal"/>
      <w:lvlText w:val="%1.%2."/>
      <w:lvlJc w:val="left"/>
      <w:pPr>
        <w:ind w:left="720" w:hanging="360"/>
      </w:pPr>
      <w:rPr>
        <w:sz w:val="24"/>
        <w:b/>
        <w:rFonts w:ascii="Times New Roman" w:hAnsi="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lvl w:ilvl="0">
      <w:start w:val="6"/>
      <w:numFmt w:val="decimal"/>
      <w:lvlText w:val="%1."/>
      <w:lvlJc w:val="left"/>
      <w:pPr>
        <w:ind w:left="360" w:hanging="360"/>
      </w:pPr>
    </w:lvl>
    <w:lvl w:ilvl="1">
      <w:start w:val="1"/>
      <w:numFmt w:val="decimal"/>
      <w:lvlText w:val="%1.%2."/>
      <w:lvlJc w:val="left"/>
      <w:pPr>
        <w:ind w:left="360" w:hanging="360"/>
      </w:pPr>
      <w:rPr>
        <w:sz w:val="24"/>
        <w:b/>
        <w:rFonts w:ascii="Times New Roman" w:hAnsi="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lvl w:ilvl="0">
      <w:start w:val="1"/>
      <w:numFmt w:val="decimal"/>
      <w:lvlText w:val="%1."/>
      <w:lvlJc w:val="left"/>
      <w:pPr>
        <w:ind w:left="720" w:hanging="360"/>
      </w:pPr>
      <w:rPr>
        <w:sz w:val="22"/>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3" w:uiPriority="0"/>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436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paragraph" w:styleId="Virsraksts1">
    <w:name w:val="Heading 1"/>
    <w:basedOn w:val="Normal"/>
    <w:next w:val="Normal"/>
    <w:link w:val="Heading1Char"/>
    <w:qFormat/>
    <w:rsid w:val="00a35323"/>
    <w:pPr>
      <w:keepNext w:val="true"/>
      <w:numPr>
        <w:ilvl w:val="0"/>
        <w:numId w:val="1"/>
      </w:numPr>
      <w:suppressAutoHyphens w:val="true"/>
      <w:spacing w:lineRule="auto" w:line="240" w:before="0" w:after="0"/>
      <w:ind w:left="1080" w:hanging="0"/>
      <w:outlineLvl w:val="0"/>
    </w:pPr>
    <w:rPr>
      <w:rFonts w:ascii="Times New Roman" w:hAnsi="Times New Roman" w:eastAsia="Times New Roman" w:cs="Times New Roman"/>
      <w:b/>
      <w:bCs/>
      <w:szCs w:val="24"/>
      <w:lang w:eastAsia="ar-SA"/>
    </w:rPr>
  </w:style>
  <w:style w:type="paragraph" w:styleId="Virsraksts2">
    <w:name w:val="Heading 2"/>
    <w:basedOn w:val="Normal"/>
    <w:next w:val="Normal"/>
    <w:link w:val="Heading2Char"/>
    <w:uiPriority w:val="9"/>
    <w:semiHidden/>
    <w:unhideWhenUsed/>
    <w:qFormat/>
    <w:rsid w:val="001134c9"/>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Virsraksts3">
    <w:name w:val="Heading 3"/>
    <w:basedOn w:val="Normal"/>
    <w:next w:val="Normal"/>
    <w:link w:val="Heading3Char"/>
    <w:qFormat/>
    <w:rsid w:val="00a35323"/>
    <w:pPr>
      <w:keepNext w:val="true"/>
      <w:numPr>
        <w:ilvl w:val="2"/>
        <w:numId w:val="1"/>
      </w:numPr>
      <w:suppressAutoHyphens w:val="true"/>
      <w:spacing w:lineRule="auto" w:line="240" w:before="240" w:after="60"/>
      <w:outlineLvl w:val="2"/>
    </w:pPr>
    <w:rPr>
      <w:rFonts w:ascii="Arial" w:hAnsi="Arial" w:eastAsia="Times New Roman" w:cs="Arial"/>
      <w:b/>
      <w:bCs/>
      <w:sz w:val="26"/>
      <w:szCs w:val="26"/>
      <w:lang w:eastAsia="ar-SA"/>
    </w:rPr>
  </w:style>
  <w:style w:type="paragraph" w:styleId="Virsraksts4">
    <w:name w:val="Heading 4"/>
    <w:basedOn w:val="Normal"/>
    <w:next w:val="Normal"/>
    <w:link w:val="Heading4Char"/>
    <w:uiPriority w:val="9"/>
    <w:unhideWhenUsed/>
    <w:qFormat/>
    <w:rsid w:val="001070bb"/>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Virsraksts6">
    <w:name w:val="Heading 6"/>
    <w:basedOn w:val="Normal"/>
    <w:next w:val="Normal"/>
    <w:link w:val="Heading6Char"/>
    <w:qFormat/>
    <w:rsid w:val="00a35323"/>
    <w:pPr>
      <w:numPr>
        <w:ilvl w:val="5"/>
        <w:numId w:val="1"/>
      </w:numPr>
      <w:suppressAutoHyphens w:val="true"/>
      <w:spacing w:lineRule="auto" w:line="240" w:before="240" w:after="60"/>
      <w:outlineLvl w:val="5"/>
    </w:pPr>
    <w:rPr>
      <w:rFonts w:ascii="Times New Roman" w:hAnsi="Times New Roman" w:eastAsia="Times New Roman" w:cs="Times New Roman"/>
      <w:b/>
      <w:bCs/>
      <w:lang w:eastAsia="ar-SA"/>
    </w:rPr>
  </w:style>
  <w:style w:type="character" w:styleId="DefaultParagraphFont" w:default="1">
    <w:name w:val="Default Paragraph Font"/>
    <w:uiPriority w:val="1"/>
    <w:semiHidden/>
    <w:unhideWhenUsed/>
    <w:qFormat/>
    <w:rPr/>
  </w:style>
  <w:style w:type="character" w:styleId="Emailstyle19" w:customStyle="1">
    <w:name w:val="emailstyle19"/>
    <w:qFormat/>
    <w:rsid w:val="00852988"/>
    <w:rPr>
      <w:rFonts w:ascii="Arial" w:hAnsi="Arial" w:cs="Arial"/>
      <w:color w:val="993366"/>
      <w:sz w:val="20"/>
    </w:rPr>
  </w:style>
  <w:style w:type="character" w:styleId="TitleChar" w:customStyle="1">
    <w:name w:val="Title Char"/>
    <w:basedOn w:val="DefaultParagraphFont"/>
    <w:link w:val="Title"/>
    <w:qFormat/>
    <w:rsid w:val="00852988"/>
    <w:rPr>
      <w:rFonts w:ascii="Times New Roman" w:hAnsi="Times New Roman" w:eastAsia="Times New Roman" w:cs="Times New Roman"/>
      <w:b/>
      <w:sz w:val="32"/>
      <w:szCs w:val="20"/>
      <w:u w:val="single"/>
      <w:lang w:eastAsia="ar-SA"/>
    </w:rPr>
  </w:style>
  <w:style w:type="character" w:styleId="SubtitleChar" w:customStyle="1">
    <w:name w:val="Subtitle Char"/>
    <w:basedOn w:val="DefaultParagraphFont"/>
    <w:link w:val="Subtitle"/>
    <w:qFormat/>
    <w:rsid w:val="00852988"/>
    <w:rPr>
      <w:rFonts w:eastAsia="" w:eastAsiaTheme="minorEastAsia"/>
      <w:color w:val="5A5A5A" w:themeColor="text1" w:themeTint="a5"/>
      <w:spacing w:val="15"/>
    </w:rPr>
  </w:style>
  <w:style w:type="character" w:styleId="BodyTextChar" w:customStyle="1">
    <w:name w:val="Body Text Char"/>
    <w:basedOn w:val="DefaultParagraphFont"/>
    <w:link w:val="BodyText"/>
    <w:qFormat/>
    <w:rsid w:val="00852988"/>
    <w:rPr>
      <w:rFonts w:ascii="Times New Roman" w:hAnsi="Times New Roman" w:eastAsia="Times New Roman" w:cs="Times New Roman"/>
      <w:sz w:val="20"/>
      <w:szCs w:val="20"/>
      <w:lang w:eastAsia="ar-SA"/>
    </w:rPr>
  </w:style>
  <w:style w:type="character" w:styleId="FootnoteTextChar" w:customStyle="1">
    <w:name w:val="Footnote Text Char"/>
    <w:basedOn w:val="DefaultParagraphFont"/>
    <w:link w:val="FootnoteText"/>
    <w:uiPriority w:val="99"/>
    <w:qFormat/>
    <w:rsid w:val="00852988"/>
    <w:rPr>
      <w:rFonts w:ascii="Times New Roman" w:hAnsi="Times New Roman" w:eastAsia="Times New Roman" w:cs="Times New Roman"/>
      <w:sz w:val="20"/>
      <w:szCs w:val="20"/>
      <w:lang w:eastAsia="ar-SA"/>
    </w:rPr>
  </w:style>
  <w:style w:type="character" w:styleId="Vresenkurs">
    <w:name w:val="Vēres enkurs"/>
    <w:rPr>
      <w:vertAlign w:val="superscript"/>
    </w:rPr>
  </w:style>
  <w:style w:type="character" w:styleId="FootnoteCharacters">
    <w:name w:val="Footnote Characters"/>
    <w:uiPriority w:val="99"/>
    <w:unhideWhenUsed/>
    <w:qFormat/>
    <w:rsid w:val="00852988"/>
    <w:rPr>
      <w:vertAlign w:val="superscript"/>
    </w:rPr>
  </w:style>
  <w:style w:type="character" w:styleId="Internetasaite">
    <w:name w:val="Interneta saite"/>
    <w:rsid w:val="00852988"/>
    <w:rPr>
      <w:color w:val="0000FF"/>
      <w:u w:val="single"/>
    </w:rPr>
  </w:style>
  <w:style w:type="character" w:styleId="Heading1Char" w:customStyle="1">
    <w:name w:val="Heading 1 Char"/>
    <w:basedOn w:val="DefaultParagraphFont"/>
    <w:link w:val="Heading1"/>
    <w:qFormat/>
    <w:rsid w:val="00a35323"/>
    <w:rPr>
      <w:rFonts w:ascii="Times New Roman" w:hAnsi="Times New Roman" w:eastAsia="Times New Roman" w:cs="Times New Roman"/>
      <w:b/>
      <w:bCs/>
      <w:szCs w:val="24"/>
      <w:lang w:eastAsia="ar-SA"/>
    </w:rPr>
  </w:style>
  <w:style w:type="character" w:styleId="Heading3Char" w:customStyle="1">
    <w:name w:val="Heading 3 Char"/>
    <w:basedOn w:val="DefaultParagraphFont"/>
    <w:link w:val="Heading3"/>
    <w:qFormat/>
    <w:rsid w:val="00a35323"/>
    <w:rPr>
      <w:rFonts w:ascii="Arial" w:hAnsi="Arial" w:eastAsia="Times New Roman" w:cs="Arial"/>
      <w:b/>
      <w:bCs/>
      <w:sz w:val="26"/>
      <w:szCs w:val="26"/>
      <w:lang w:eastAsia="ar-SA"/>
    </w:rPr>
  </w:style>
  <w:style w:type="character" w:styleId="Heading6Char" w:customStyle="1">
    <w:name w:val="Heading 6 Char"/>
    <w:basedOn w:val="DefaultParagraphFont"/>
    <w:link w:val="Heading6"/>
    <w:qFormat/>
    <w:rsid w:val="00a35323"/>
    <w:rPr>
      <w:rFonts w:ascii="Times New Roman" w:hAnsi="Times New Roman" w:eastAsia="Times New Roman" w:cs="Times New Roman"/>
      <w:b/>
      <w:bCs/>
      <w:lang w:eastAsia="ar-SA"/>
    </w:rPr>
  </w:style>
  <w:style w:type="character" w:styleId="HeaderChar" w:customStyle="1">
    <w:name w:val="Header Char"/>
    <w:basedOn w:val="DefaultParagraphFont"/>
    <w:link w:val="Header"/>
    <w:uiPriority w:val="99"/>
    <w:qFormat/>
    <w:rsid w:val="0030294f"/>
    <w:rPr>
      <w:rFonts w:ascii="Times New Roman" w:hAnsi="Times New Roman" w:eastAsia="Times New Roman" w:cs="Times New Roman"/>
      <w:sz w:val="24"/>
      <w:szCs w:val="20"/>
      <w:lang w:eastAsia="ar-SA"/>
    </w:rPr>
  </w:style>
  <w:style w:type="character" w:styleId="WW8Num51z1" w:customStyle="1">
    <w:name w:val="WW8Num51z1"/>
    <w:qFormat/>
    <w:rsid w:val="007c5bb7"/>
    <w:rPr>
      <w:rFonts w:ascii="Times New Roman" w:hAnsi="Times New Roman" w:eastAsia="Times New Roman" w:cs="Times New Roman"/>
      <w:sz w:val="22"/>
      <w:szCs w:val="22"/>
    </w:rPr>
  </w:style>
  <w:style w:type="character" w:styleId="FooterChar" w:customStyle="1">
    <w:name w:val="Footer Char"/>
    <w:basedOn w:val="DefaultParagraphFont"/>
    <w:link w:val="Footer"/>
    <w:uiPriority w:val="99"/>
    <w:qFormat/>
    <w:rsid w:val="00025f9e"/>
    <w:rPr/>
  </w:style>
  <w:style w:type="character" w:styleId="BalloonTextChar" w:customStyle="1">
    <w:name w:val="Balloon Text Char"/>
    <w:basedOn w:val="DefaultParagraphFont"/>
    <w:link w:val="BalloonText"/>
    <w:uiPriority w:val="99"/>
    <w:semiHidden/>
    <w:qFormat/>
    <w:rsid w:val="002e11c8"/>
    <w:rPr>
      <w:rFonts w:ascii="Segoe UI" w:hAnsi="Segoe UI" w:cs="Segoe UI"/>
      <w:sz w:val="18"/>
      <w:szCs w:val="18"/>
    </w:rPr>
  </w:style>
  <w:style w:type="character" w:styleId="Appleconvertedspace" w:customStyle="1">
    <w:name w:val="apple-converted-space"/>
    <w:basedOn w:val="DefaultParagraphFont"/>
    <w:qFormat/>
    <w:rsid w:val="005772d9"/>
    <w:rPr/>
  </w:style>
  <w:style w:type="character" w:styleId="Uzsvars">
    <w:name w:val="Uzsvars"/>
    <w:basedOn w:val="DefaultParagraphFont"/>
    <w:uiPriority w:val="20"/>
    <w:qFormat/>
    <w:rsid w:val="005772d9"/>
    <w:rPr>
      <w:i/>
      <w:iCs/>
    </w:rPr>
  </w:style>
  <w:style w:type="character" w:styleId="Heading4Char" w:customStyle="1">
    <w:name w:val="Heading 4 Char"/>
    <w:basedOn w:val="DefaultParagraphFont"/>
    <w:link w:val="Heading4"/>
    <w:uiPriority w:val="9"/>
    <w:qFormat/>
    <w:rsid w:val="001070bb"/>
    <w:rPr>
      <w:rFonts w:ascii="Calibri Light" w:hAnsi="Calibri Light" w:eastAsia="" w:cs="" w:asciiTheme="majorHAnsi" w:cstheme="majorBidi" w:eastAsiaTheme="majorEastAsia" w:hAnsiTheme="majorHAnsi"/>
      <w:i/>
      <w:iCs/>
      <w:color w:val="2F5496" w:themeColor="accent1" w:themeShade="bf"/>
    </w:rPr>
  </w:style>
  <w:style w:type="character" w:styleId="BodyTextIndent2Char" w:customStyle="1">
    <w:name w:val="Body Text Indent 2 Char"/>
    <w:basedOn w:val="DefaultParagraphFont"/>
    <w:link w:val="BodyTextIndent2"/>
    <w:uiPriority w:val="99"/>
    <w:semiHidden/>
    <w:qFormat/>
    <w:rsid w:val="001070bb"/>
    <w:rPr/>
  </w:style>
  <w:style w:type="character" w:styleId="Annotationreference">
    <w:name w:val="annotation reference"/>
    <w:basedOn w:val="DefaultParagraphFont"/>
    <w:uiPriority w:val="99"/>
    <w:semiHidden/>
    <w:unhideWhenUsed/>
    <w:qFormat/>
    <w:rsid w:val="00e202c6"/>
    <w:rPr>
      <w:sz w:val="16"/>
      <w:szCs w:val="16"/>
    </w:rPr>
  </w:style>
  <w:style w:type="character" w:styleId="CommentTextChar" w:customStyle="1">
    <w:name w:val="Comment Text Char"/>
    <w:basedOn w:val="DefaultParagraphFont"/>
    <w:link w:val="CommentText"/>
    <w:uiPriority w:val="99"/>
    <w:semiHidden/>
    <w:qFormat/>
    <w:rsid w:val="00e202c6"/>
    <w:rPr>
      <w:sz w:val="20"/>
      <w:szCs w:val="20"/>
    </w:rPr>
  </w:style>
  <w:style w:type="character" w:styleId="CommentSubjectChar" w:customStyle="1">
    <w:name w:val="Comment Subject Char"/>
    <w:basedOn w:val="CommentTextChar"/>
    <w:link w:val="CommentSubject"/>
    <w:uiPriority w:val="99"/>
    <w:semiHidden/>
    <w:qFormat/>
    <w:rsid w:val="00e202c6"/>
    <w:rPr>
      <w:b/>
      <w:bCs/>
      <w:sz w:val="20"/>
      <w:szCs w:val="20"/>
    </w:rPr>
  </w:style>
  <w:style w:type="character" w:styleId="BodyTextIndent3Char" w:customStyle="1">
    <w:name w:val="Body Text Indent 3 Char"/>
    <w:basedOn w:val="DefaultParagraphFont"/>
    <w:link w:val="BodyTextIndent3"/>
    <w:uiPriority w:val="99"/>
    <w:semiHidden/>
    <w:qFormat/>
    <w:rsid w:val="007742c9"/>
    <w:rPr>
      <w:rFonts w:ascii="Times New Roman" w:hAnsi="Times New Roman" w:eastAsia="Times New Roman" w:cs="Times New Roman"/>
      <w:sz w:val="16"/>
      <w:szCs w:val="16"/>
      <w:lang w:eastAsia="ar-SA"/>
    </w:rPr>
  </w:style>
  <w:style w:type="character" w:styleId="WW8Num3z0" w:customStyle="1">
    <w:name w:val="WW8Num3z0"/>
    <w:qFormat/>
    <w:rsid w:val="00714249"/>
    <w:rPr>
      <w:rFonts w:ascii="Times New Roman" w:hAnsi="Times New Roman" w:eastAsia="Times New Roman" w:cs="Times New Roman"/>
    </w:rPr>
  </w:style>
  <w:style w:type="character" w:styleId="BodyTextIndentChar" w:customStyle="1">
    <w:name w:val="Body Text Indent Char"/>
    <w:basedOn w:val="DefaultParagraphFont"/>
    <w:link w:val="BodyTextIndent"/>
    <w:qFormat/>
    <w:rsid w:val="006a19dc"/>
    <w:rPr>
      <w:rFonts w:ascii="Times New Roman" w:hAnsi="Times New Roman" w:eastAsia="Times New Roman" w:cs="Times New Roman"/>
      <w:sz w:val="24"/>
      <w:szCs w:val="24"/>
      <w:lang w:eastAsia="ar-SA"/>
    </w:rPr>
  </w:style>
  <w:style w:type="character" w:styleId="WW8Num21z0" w:customStyle="1">
    <w:name w:val="WW8Num21z0"/>
    <w:qFormat/>
    <w:rsid w:val="00f35c3c"/>
    <w:rPr>
      <w:rFonts w:ascii="Symbol" w:hAnsi="Symbol"/>
      <w:sz w:val="22"/>
    </w:rPr>
  </w:style>
  <w:style w:type="character" w:styleId="WW8Num4z1" w:customStyle="1">
    <w:name w:val="WW8Num4z1"/>
    <w:qFormat/>
    <w:rsid w:val="00bd3e4f"/>
    <w:rPr>
      <w:i w:val="false"/>
      <w:iCs/>
      <w:strike w:val="false"/>
      <w:dstrike w:val="false"/>
      <w:color w:val="auto"/>
      <w:sz w:val="24"/>
      <w:szCs w:val="24"/>
    </w:rPr>
  </w:style>
  <w:style w:type="character" w:styleId="WW8Num12z0" w:customStyle="1">
    <w:name w:val="WW8Num12z0"/>
    <w:qFormat/>
    <w:rsid w:val="00bd3e4f"/>
    <w:rPr>
      <w:rFonts w:ascii="Symbol" w:hAnsi="Symbol" w:cs="OpenSymbol"/>
    </w:rPr>
  </w:style>
  <w:style w:type="character" w:styleId="Red" w:customStyle="1">
    <w:name w:val="red"/>
    <w:basedOn w:val="DefaultParagraphFont"/>
    <w:qFormat/>
    <w:rsid w:val="00536822"/>
    <w:rPr/>
  </w:style>
  <w:style w:type="character" w:styleId="ListParagraphChar" w:customStyle="1">
    <w:name w:val="List Paragraph Char"/>
    <w:link w:val="ListParagraph"/>
    <w:qFormat/>
    <w:rsid w:val="00c35972"/>
    <w:rPr/>
  </w:style>
  <w:style w:type="character" w:styleId="Heading2Char" w:customStyle="1">
    <w:name w:val="Heading 2 Char"/>
    <w:basedOn w:val="DefaultParagraphFont"/>
    <w:link w:val="Heading2"/>
    <w:uiPriority w:val="9"/>
    <w:semiHidden/>
    <w:qFormat/>
    <w:rsid w:val="001134c9"/>
    <w:rPr>
      <w:rFonts w:ascii="Calibri Light" w:hAnsi="Calibri Light" w:eastAsia="" w:cs="" w:asciiTheme="majorHAnsi" w:cstheme="majorBidi" w:eastAsiaTheme="majorEastAsia" w:hAnsiTheme="majorHAnsi"/>
      <w:b/>
      <w:bCs/>
      <w:color w:val="4472C4" w:themeColor="accent1"/>
      <w:sz w:val="26"/>
      <w:szCs w:val="26"/>
    </w:rPr>
  </w:style>
  <w:style w:type="character" w:styleId="BodyText3Char" w:customStyle="1">
    <w:name w:val="Body Text 3 Char"/>
    <w:basedOn w:val="DefaultParagraphFont"/>
    <w:link w:val="BodyText3"/>
    <w:qFormat/>
    <w:rsid w:val="000a4e75"/>
    <w:rPr>
      <w:rFonts w:ascii="Times New Roman" w:hAnsi="Times New Roman" w:eastAsia="Times New Roman" w:cs="Times New Roman"/>
      <w:sz w:val="16"/>
      <w:szCs w:val="16"/>
      <w:lang w:eastAsia="lv-LV"/>
    </w:rPr>
  </w:style>
  <w:style w:type="character" w:styleId="1" w:customStyle="1">
    <w:name w:val="Заголовок №1_"/>
    <w:basedOn w:val="DefaultParagraphFont"/>
    <w:link w:val="10"/>
    <w:qFormat/>
    <w:rsid w:val="00130bf5"/>
    <w:rPr>
      <w:rFonts w:ascii="Times New Roman" w:hAnsi="Times New Roman" w:eastAsia="Times New Roman" w:cs="Times New Roman"/>
      <w:shd w:fill="FFFFFF" w:val="clear"/>
    </w:rPr>
  </w:style>
  <w:style w:type="character" w:styleId="2" w:customStyle="1">
    <w:name w:val="Основной текст (2) + Полужирный"/>
    <w:basedOn w:val="DefaultParagraphFont"/>
    <w:qFormat/>
    <w:rsid w:val="00130bf5"/>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lv-LV" w:eastAsia="lv-LV" w:bidi="lv-LV"/>
    </w:rPr>
  </w:style>
  <w:style w:type="character" w:styleId="ListLabel1">
    <w:name w:val="ListLabel 1"/>
    <w:qFormat/>
    <w:rPr>
      <w:b/>
      <w:sz w:val="22"/>
    </w:rPr>
  </w:style>
  <w:style w:type="character" w:styleId="ListLabel2">
    <w:name w:val="ListLabel 2"/>
    <w:qFormat/>
    <w:rPr>
      <w:rFonts w:ascii="Times New Roman" w:hAnsi="Times New Roman"/>
      <w:b/>
      <w:color w:val="auto"/>
    </w:rPr>
  </w:style>
  <w:style w:type="character" w:styleId="ListLabel3">
    <w:name w:val="ListLabel 3"/>
    <w:qFormat/>
    <w:rPr>
      <w:rFonts w:ascii="Times New Roman" w:hAnsi="Times New Roman"/>
      <w:color w:val="auto"/>
    </w:rPr>
  </w:style>
  <w:style w:type="character" w:styleId="ListLabel4">
    <w:name w:val="ListLabel 4"/>
    <w:qFormat/>
    <w:rPr>
      <w:b w:val="false"/>
    </w:rPr>
  </w:style>
  <w:style w:type="character" w:styleId="ListLabel5">
    <w:name w:val="ListLabel 5"/>
    <w:qFormat/>
    <w:rPr>
      <w:b w:val="false"/>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character" w:styleId="ListLabel10">
    <w:name w:val="ListLabel 10"/>
    <w:qFormat/>
    <w:rPr>
      <w:b w:val="false"/>
    </w:rPr>
  </w:style>
  <w:style w:type="character" w:styleId="ListLabel11">
    <w:name w:val="ListLabel 11"/>
    <w:qFormat/>
    <w:rPr>
      <w:b w:val="false"/>
    </w:rPr>
  </w:style>
  <w:style w:type="character" w:styleId="ListLabel12">
    <w:name w:val="ListLabel 12"/>
    <w:qFormat/>
    <w:rPr>
      <w:b w:val="false"/>
    </w:rPr>
  </w:style>
  <w:style w:type="character" w:styleId="ListLabel13">
    <w:name w:val="ListLabel 13"/>
    <w:qFormat/>
    <w:rPr>
      <w:b w:val="false"/>
    </w:rPr>
  </w:style>
  <w:style w:type="character" w:styleId="ListLabel14">
    <w:name w:val="ListLabel 14"/>
    <w:qFormat/>
    <w:rPr>
      <w:b w:val="false"/>
    </w:rPr>
  </w:style>
  <w:style w:type="character" w:styleId="ListLabel15">
    <w:name w:val="ListLabel 15"/>
    <w:qFormat/>
    <w:rPr>
      <w:b w:val="false"/>
    </w:rPr>
  </w:style>
  <w:style w:type="character" w:styleId="ListLabel16">
    <w:name w:val="ListLabel 16"/>
    <w:qFormat/>
    <w:rPr>
      <w:b w:val="false"/>
    </w:rPr>
  </w:style>
  <w:style w:type="character" w:styleId="ListLabel17">
    <w:name w:val="ListLabel 17"/>
    <w:qFormat/>
    <w:rPr>
      <w:b w:val="false"/>
    </w:rPr>
  </w:style>
  <w:style w:type="character" w:styleId="ListLabel18">
    <w:name w:val="ListLabel 18"/>
    <w:qFormat/>
    <w:rPr>
      <w:b w:val="false"/>
    </w:rPr>
  </w:style>
  <w:style w:type="character" w:styleId="ListLabel19">
    <w:name w:val="ListLabel 19"/>
    <w:qFormat/>
    <w:rPr>
      <w:b w:val="false"/>
    </w:rPr>
  </w:style>
  <w:style w:type="character" w:styleId="ListLabel20">
    <w:name w:val="ListLabel 20"/>
    <w:qFormat/>
    <w:rPr>
      <w:rFonts w:cs="Times New Roman"/>
    </w:rPr>
  </w:style>
  <w:style w:type="character" w:styleId="ListLabel21">
    <w:name w:val="ListLabel 21"/>
    <w:qFormat/>
    <w:rPr>
      <w:rFonts w:cs="Times New Roman"/>
      <w:b/>
      <w:bCs/>
      <w:color w:val="auto"/>
      <w:sz w:val="24"/>
      <w:szCs w:val="24"/>
    </w:rPr>
  </w:style>
  <w:style w:type="character" w:styleId="ListLabel22">
    <w:name w:val="ListLabel 22"/>
    <w:qFormat/>
    <w:rPr>
      <w:rFonts w:cs="Times New Roman"/>
      <w:b w:val="false"/>
      <w:i w:val="false"/>
      <w:color w:val="000000"/>
      <w:sz w:val="24"/>
      <w:szCs w:val="24"/>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b/>
      <w:i w:val="false"/>
    </w:rPr>
  </w:style>
  <w:style w:type="character" w:styleId="ListLabel30">
    <w:name w:val="ListLabel 30"/>
    <w:qFormat/>
    <w:rPr>
      <w:b w:val="false"/>
    </w:rPr>
  </w:style>
  <w:style w:type="character" w:styleId="ListLabel31">
    <w:name w:val="ListLabel 31"/>
    <w:qFormat/>
    <w:rPr>
      <w:b w:val="false"/>
    </w:rPr>
  </w:style>
  <w:style w:type="character" w:styleId="ListLabel32">
    <w:name w:val="ListLabel 32"/>
    <w:qFormat/>
    <w:rPr>
      <w:b w:val="false"/>
      <w:i w:val="false"/>
      <w:sz w:val="26"/>
      <w:szCs w:val="26"/>
    </w:rPr>
  </w:style>
  <w:style w:type="character" w:styleId="ListLabel33">
    <w:name w:val="ListLabel 33"/>
    <w:qFormat/>
    <w:rPr>
      <w:b w:val="false"/>
    </w:rPr>
  </w:style>
  <w:style w:type="character" w:styleId="ListLabel34">
    <w:name w:val="ListLabel 34"/>
    <w:qFormat/>
    <w:rPr>
      <w:rFonts w:eastAsia="Times New Roman" w:cs="Times New Roman"/>
      <w:sz w:val="22"/>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b w:val="false"/>
    </w:rPr>
  </w:style>
  <w:style w:type="character" w:styleId="ListLabel39">
    <w:name w:val="ListLabel 39"/>
    <w:qFormat/>
    <w:rPr>
      <w:b w:val="false"/>
    </w:rPr>
  </w:style>
  <w:style w:type="character" w:styleId="ListLabel40">
    <w:name w:val="ListLabel 40"/>
    <w:qFormat/>
    <w:rPr>
      <w:rFonts w:ascii="Times New Roman" w:hAnsi="Times New Roman"/>
      <w:b/>
      <w:sz w:val="24"/>
    </w:rPr>
  </w:style>
  <w:style w:type="character" w:styleId="ListLabel41">
    <w:name w:val="ListLabel 41"/>
    <w:qFormat/>
    <w:rPr>
      <w:rFonts w:cs="Times New Roman"/>
      <w:sz w:val="24"/>
    </w:rPr>
  </w:style>
  <w:style w:type="character" w:styleId="ListLabel42">
    <w:name w:val="ListLabel 42"/>
    <w:qFormat/>
    <w:rPr>
      <w:rFonts w:cs="Times New Roman"/>
      <w:sz w:val="24"/>
    </w:rPr>
  </w:style>
  <w:style w:type="character" w:styleId="ListLabel43">
    <w:name w:val="ListLabel 43"/>
    <w:qFormat/>
    <w:rPr>
      <w:rFonts w:cs="Times New Roman"/>
      <w:sz w:val="24"/>
    </w:rPr>
  </w:style>
  <w:style w:type="character" w:styleId="ListLabel44">
    <w:name w:val="ListLabel 44"/>
    <w:qFormat/>
    <w:rPr>
      <w:rFonts w:cs="Times New Roman"/>
      <w:sz w:val="24"/>
    </w:rPr>
  </w:style>
  <w:style w:type="character" w:styleId="ListLabel45">
    <w:name w:val="ListLabel 45"/>
    <w:qFormat/>
    <w:rPr>
      <w:rFonts w:cs="Times New Roman"/>
      <w:sz w:val="24"/>
    </w:rPr>
  </w:style>
  <w:style w:type="character" w:styleId="ListLabel46">
    <w:name w:val="ListLabel 46"/>
    <w:qFormat/>
    <w:rPr>
      <w:rFonts w:cs="Times New Roman"/>
      <w:sz w:val="24"/>
    </w:rPr>
  </w:style>
  <w:style w:type="character" w:styleId="ListLabel47">
    <w:name w:val="ListLabel 47"/>
    <w:qFormat/>
    <w:rPr>
      <w:rFonts w:cs="Times New Roman"/>
      <w:sz w:val="24"/>
    </w:rPr>
  </w:style>
  <w:style w:type="character" w:styleId="ListLabel48">
    <w:name w:val="ListLabel 48"/>
    <w:qFormat/>
    <w:rPr>
      <w:rFonts w:cs="Times New Roman"/>
      <w:sz w:val="24"/>
    </w:rPr>
  </w:style>
  <w:style w:type="character" w:styleId="ListLabel49">
    <w:name w:val="ListLabel 49"/>
    <w:qFormat/>
    <w:rPr>
      <w:rFonts w:cs="Times New Roman"/>
      <w:sz w:val="24"/>
    </w:rPr>
  </w:style>
  <w:style w:type="character" w:styleId="ListLabel50">
    <w:name w:val="ListLabel 50"/>
    <w:qFormat/>
    <w:rPr>
      <w:rFonts w:eastAsia="Times New Roman" w:cs=""/>
    </w:rPr>
  </w:style>
  <w:style w:type="character" w:styleId="ListLabel51">
    <w:name w:val="ListLabel 51"/>
    <w:qFormat/>
    <w:rPr>
      <w:rFonts w:ascii="Times New Roman" w:hAnsi="Times New Roman" w:eastAsia="Times New Roman" w:cs=""/>
      <w:b/>
    </w:rPr>
  </w:style>
  <w:style w:type="character" w:styleId="ListLabel52">
    <w:name w:val="ListLabel 52"/>
    <w:qFormat/>
    <w:rPr>
      <w:rFonts w:eastAsia="Times New Roman" w:cs=""/>
    </w:rPr>
  </w:style>
  <w:style w:type="character" w:styleId="ListLabel53">
    <w:name w:val="ListLabel 53"/>
    <w:qFormat/>
    <w:rPr>
      <w:rFonts w:eastAsia="Times New Roman" w:cs=""/>
    </w:rPr>
  </w:style>
  <w:style w:type="character" w:styleId="ListLabel54">
    <w:name w:val="ListLabel 54"/>
    <w:qFormat/>
    <w:rPr>
      <w:rFonts w:eastAsia="Times New Roman" w:cs=""/>
    </w:rPr>
  </w:style>
  <w:style w:type="character" w:styleId="ListLabel55">
    <w:name w:val="ListLabel 55"/>
    <w:qFormat/>
    <w:rPr>
      <w:rFonts w:eastAsia="Times New Roman" w:cs=""/>
    </w:rPr>
  </w:style>
  <w:style w:type="character" w:styleId="ListLabel56">
    <w:name w:val="ListLabel 56"/>
    <w:qFormat/>
    <w:rPr>
      <w:rFonts w:eastAsia="Times New Roman" w:cs=""/>
    </w:rPr>
  </w:style>
  <w:style w:type="character" w:styleId="ListLabel57">
    <w:name w:val="ListLabel 57"/>
    <w:qFormat/>
    <w:rPr>
      <w:rFonts w:eastAsia="Times New Roman" w:cs=""/>
    </w:rPr>
  </w:style>
  <w:style w:type="character" w:styleId="ListLabel58">
    <w:name w:val="ListLabel 58"/>
    <w:qFormat/>
    <w:rPr>
      <w:rFonts w:eastAsia="Times New Roman" w:cs=""/>
    </w:rPr>
  </w:style>
  <w:style w:type="character" w:styleId="ListLabel59">
    <w:name w:val="ListLabel 59"/>
    <w:qFormat/>
    <w:rPr>
      <w:rFonts w:ascii="Times New Roman" w:hAnsi="Times New Roman"/>
      <w:color w:val="auto"/>
      <w:sz w:val="24"/>
    </w:rPr>
  </w:style>
  <w:style w:type="character" w:styleId="ListLabel60">
    <w:name w:val="ListLabel 60"/>
    <w:qFormat/>
    <w:rPr>
      <w:b w:val="false"/>
    </w:rPr>
  </w:style>
  <w:style w:type="character" w:styleId="ListLabel61">
    <w:name w:val="ListLabel 61"/>
    <w:qFormat/>
    <w:rPr>
      <w:b/>
      <w:bCs/>
    </w:rPr>
  </w:style>
  <w:style w:type="character" w:styleId="ListLabel62">
    <w:name w:val="ListLabel 62"/>
    <w:qFormat/>
    <w:rPr>
      <w:b w:val="false"/>
    </w:rPr>
  </w:style>
  <w:style w:type="character" w:styleId="ListLabel63">
    <w:name w:val="ListLabel 63"/>
    <w:qFormat/>
    <w:rPr>
      <w:sz w:val="22"/>
      <w:szCs w:val="22"/>
    </w:rPr>
  </w:style>
  <w:style w:type="character" w:styleId="ListLabel64">
    <w:name w:val="ListLabel 64"/>
    <w:qFormat/>
    <w:rPr>
      <w:rFonts w:cs="Times New Roman"/>
      <w:b/>
    </w:rPr>
  </w:style>
  <w:style w:type="character" w:styleId="ListLabel65">
    <w:name w:val="ListLabel 65"/>
    <w:qFormat/>
    <w:rPr>
      <w:rFonts w:ascii="Times New Roman" w:hAnsi="Times New Roman"/>
      <w:b/>
      <w:sz w:val="24"/>
    </w:rPr>
  </w:style>
  <w:style w:type="character" w:styleId="ListLabel66">
    <w:name w:val="ListLabel 66"/>
    <w:qFormat/>
    <w:rPr>
      <w:rFonts w:ascii="Times New Roman" w:hAnsi="Times New Roman"/>
      <w:b/>
      <w:sz w:val="24"/>
    </w:rPr>
  </w:style>
  <w:style w:type="character" w:styleId="ListLabel67">
    <w:name w:val="ListLabel 67"/>
    <w:qFormat/>
    <w:rPr>
      <w:b w:val="false"/>
    </w:rPr>
  </w:style>
  <w:style w:type="character" w:styleId="ListLabel68">
    <w:name w:val="ListLabel 68"/>
    <w:qFormat/>
    <w:rPr>
      <w:rFonts w:ascii="Times New Roman" w:hAnsi="Times New Roman"/>
      <w:b w:val="false"/>
      <w:sz w:val="22"/>
    </w:rPr>
  </w:style>
  <w:style w:type="character" w:styleId="ListLabel69">
    <w:name w:val="ListLabel 69"/>
    <w:qFormat/>
    <w:rPr>
      <w:rFonts w:ascii="Times New Roman" w:hAnsi="Times New Roman" w:eastAsia="Calibri" w:cs="Times New Roman"/>
      <w:bCs/>
      <w:color w:val="auto"/>
      <w:u w:val="none"/>
    </w:rPr>
  </w:style>
  <w:style w:type="character" w:styleId="ListLabel70">
    <w:name w:val="ListLabel 70"/>
    <w:qFormat/>
    <w:rPr>
      <w:rFonts w:ascii="Times New Roman" w:hAnsi="Times New Roman" w:eastAsia="Calibri" w:cs="Times New Roman"/>
    </w:rPr>
  </w:style>
  <w:style w:type="character" w:styleId="ListLabel71">
    <w:name w:val="ListLabel 71"/>
    <w:qFormat/>
    <w:rPr>
      <w:rFonts w:ascii="Times New Roman" w:hAnsi="Times New Roman" w:eastAsia="Helvetica" w:cs="Times New Roman"/>
    </w:rPr>
  </w:style>
  <w:style w:type="character" w:styleId="ListLabel72">
    <w:name w:val="ListLabel 72"/>
    <w:qFormat/>
    <w:rPr>
      <w:sz w:val="22"/>
      <w:szCs w:val="22"/>
    </w:rPr>
  </w:style>
  <w:style w:type="character" w:styleId="Vresrakstzmes">
    <w:name w:val="Vēres rakstzīmes"/>
    <w:qFormat/>
    <w:rPr/>
  </w:style>
  <w:style w:type="character" w:styleId="Beiguvresenkurs">
    <w:name w:val="Beigu vēres enkurs"/>
    <w:rPr>
      <w:vertAlign w:val="superscript"/>
    </w:rPr>
  </w:style>
  <w:style w:type="character" w:styleId="Beiguvresrakstzme">
    <w:name w:val="Beigu vēres rakstzīme"/>
    <w:qFormat/>
    <w:rPr/>
  </w:style>
  <w:style w:type="character" w:styleId="ListLabel978">
    <w:name w:val="ListLabel 978"/>
    <w:qFormat/>
    <w:rPr>
      <w:rFonts w:ascii="Times New Roman" w:hAnsi="Times New Roman" w:eastAsia="Calibri" w:cs="Times New Roman"/>
      <w:b w:val="false"/>
      <w:bCs w:val="false"/>
      <w:color w:val="000000"/>
      <w:sz w:val="22"/>
      <w:szCs w:val="22"/>
    </w:rPr>
  </w:style>
  <w:style w:type="character" w:styleId="ListLabel979">
    <w:name w:val="ListLabel 979"/>
    <w:qFormat/>
    <w:rPr>
      <w:rFonts w:ascii="Times New Roman" w:hAnsi="Times New Roman" w:eastAsia="Calibri" w:cs="Times New Roman"/>
      <w:bCs/>
      <w:color w:val="auto"/>
      <w:sz w:val="22"/>
      <w:szCs w:val="22"/>
      <w:u w:val="none"/>
    </w:rPr>
  </w:style>
  <w:style w:type="character" w:styleId="ListLabel980">
    <w:name w:val="ListLabel 980"/>
    <w:qFormat/>
    <w:rPr>
      <w:b/>
      <w:sz w:val="22"/>
    </w:rPr>
  </w:style>
  <w:style w:type="character" w:styleId="ListLabel981">
    <w:name w:val="ListLabel 981"/>
    <w:qFormat/>
    <w:rPr>
      <w:b/>
      <w:color w:val="auto"/>
    </w:rPr>
  </w:style>
  <w:style w:type="character" w:styleId="ListLabel982">
    <w:name w:val="ListLabel 982"/>
    <w:qFormat/>
    <w:rPr>
      <w:rFonts w:ascii="Times New Roman" w:hAnsi="Times New Roman"/>
      <w:color w:val="auto"/>
    </w:rPr>
  </w:style>
  <w:style w:type="character" w:styleId="ListLabel983">
    <w:name w:val="ListLabel 983"/>
    <w:qFormat/>
    <w:rPr>
      <w:b w:val="false"/>
    </w:rPr>
  </w:style>
  <w:style w:type="character" w:styleId="ListLabel984">
    <w:name w:val="ListLabel 984"/>
    <w:qFormat/>
    <w:rPr>
      <w:b w:val="false"/>
    </w:rPr>
  </w:style>
  <w:style w:type="character" w:styleId="ListLabel985">
    <w:name w:val="ListLabel 985"/>
    <w:qFormat/>
    <w:rPr>
      <w:b w:val="false"/>
    </w:rPr>
  </w:style>
  <w:style w:type="character" w:styleId="ListLabel986">
    <w:name w:val="ListLabel 986"/>
    <w:qFormat/>
    <w:rPr>
      <w:b w:val="false"/>
    </w:rPr>
  </w:style>
  <w:style w:type="character" w:styleId="ListLabel987">
    <w:name w:val="ListLabel 987"/>
    <w:qFormat/>
    <w:rPr>
      <w:b w:val="false"/>
    </w:rPr>
  </w:style>
  <w:style w:type="character" w:styleId="ListLabel988">
    <w:name w:val="ListLabel 988"/>
    <w:qFormat/>
    <w:rPr>
      <w:b w:val="false"/>
    </w:rPr>
  </w:style>
  <w:style w:type="character" w:styleId="ListLabel989">
    <w:name w:val="ListLabel 989"/>
    <w:qFormat/>
    <w:rPr>
      <w:b w:val="false"/>
    </w:rPr>
  </w:style>
  <w:style w:type="character" w:styleId="ListLabel990">
    <w:name w:val="ListLabel 990"/>
    <w:qFormat/>
    <w:rPr>
      <w:b w:val="false"/>
    </w:rPr>
  </w:style>
  <w:style w:type="character" w:styleId="ListLabel991">
    <w:name w:val="ListLabel 991"/>
    <w:qFormat/>
    <w:rPr>
      <w:b w:val="false"/>
    </w:rPr>
  </w:style>
  <w:style w:type="character" w:styleId="ListLabel992">
    <w:name w:val="ListLabel 992"/>
    <w:qFormat/>
    <w:rPr>
      <w:b w:val="false"/>
    </w:rPr>
  </w:style>
  <w:style w:type="character" w:styleId="ListLabel993">
    <w:name w:val="ListLabel 993"/>
    <w:qFormat/>
    <w:rPr>
      <w:b w:val="false"/>
    </w:rPr>
  </w:style>
  <w:style w:type="character" w:styleId="ListLabel994">
    <w:name w:val="ListLabel 994"/>
    <w:qFormat/>
    <w:rPr>
      <w:b w:val="false"/>
    </w:rPr>
  </w:style>
  <w:style w:type="character" w:styleId="ListLabel995">
    <w:name w:val="ListLabel 995"/>
    <w:qFormat/>
    <w:rPr>
      <w:b w:val="false"/>
    </w:rPr>
  </w:style>
  <w:style w:type="character" w:styleId="ListLabel996">
    <w:name w:val="ListLabel 996"/>
    <w:qFormat/>
    <w:rPr>
      <w:b w:val="false"/>
    </w:rPr>
  </w:style>
  <w:style w:type="character" w:styleId="ListLabel997">
    <w:name w:val="ListLabel 997"/>
    <w:qFormat/>
    <w:rPr>
      <w:b w:val="false"/>
    </w:rPr>
  </w:style>
  <w:style w:type="character" w:styleId="ListLabel998">
    <w:name w:val="ListLabel 998"/>
    <w:qFormat/>
    <w:rPr>
      <w:b w:val="false"/>
    </w:rPr>
  </w:style>
  <w:style w:type="character" w:styleId="ListLabel999">
    <w:name w:val="ListLabel 999"/>
    <w:qFormat/>
    <w:rPr>
      <w:rFonts w:cs="Times New Roman"/>
      <w:sz w:val="22"/>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b w:val="false"/>
    </w:rPr>
  </w:style>
  <w:style w:type="character" w:styleId="ListLabel1009">
    <w:name w:val="ListLabel 1009"/>
    <w:qFormat/>
    <w:rPr>
      <w:b w:val="false"/>
    </w:rPr>
  </w:style>
  <w:style w:type="character" w:styleId="ListLabel1010">
    <w:name w:val="ListLabel 1010"/>
    <w:qFormat/>
    <w:rPr>
      <w:rFonts w:ascii="Times New Roman" w:hAnsi="Times New Roman"/>
      <w:b/>
      <w:sz w:val="24"/>
    </w:rPr>
  </w:style>
  <w:style w:type="character" w:styleId="ListLabel1011">
    <w:name w:val="ListLabel 1011"/>
    <w:qFormat/>
    <w:rPr>
      <w:rFonts w:eastAsia="Times New Roman" w:cs=""/>
    </w:rPr>
  </w:style>
  <w:style w:type="character" w:styleId="ListLabel1012">
    <w:name w:val="ListLabel 1012"/>
    <w:qFormat/>
    <w:rPr>
      <w:rFonts w:ascii="Times New Roman" w:hAnsi="Times New Roman" w:eastAsia="Times New Roman" w:cs=""/>
      <w:b/>
    </w:rPr>
  </w:style>
  <w:style w:type="character" w:styleId="ListLabel1013">
    <w:name w:val="ListLabel 1013"/>
    <w:qFormat/>
    <w:rPr>
      <w:rFonts w:eastAsia="Times New Roman" w:cs=""/>
    </w:rPr>
  </w:style>
  <w:style w:type="character" w:styleId="ListLabel1014">
    <w:name w:val="ListLabel 1014"/>
    <w:qFormat/>
    <w:rPr>
      <w:rFonts w:eastAsia="Times New Roman" w:cs=""/>
    </w:rPr>
  </w:style>
  <w:style w:type="character" w:styleId="ListLabel1015">
    <w:name w:val="ListLabel 1015"/>
    <w:qFormat/>
    <w:rPr>
      <w:rFonts w:eastAsia="Times New Roman" w:cs=""/>
    </w:rPr>
  </w:style>
  <w:style w:type="character" w:styleId="ListLabel1016">
    <w:name w:val="ListLabel 1016"/>
    <w:qFormat/>
    <w:rPr>
      <w:rFonts w:eastAsia="Times New Roman" w:cs=""/>
    </w:rPr>
  </w:style>
  <w:style w:type="character" w:styleId="ListLabel1017">
    <w:name w:val="ListLabel 1017"/>
    <w:qFormat/>
    <w:rPr>
      <w:rFonts w:eastAsia="Times New Roman" w:cs=""/>
    </w:rPr>
  </w:style>
  <w:style w:type="character" w:styleId="ListLabel1018">
    <w:name w:val="ListLabel 1018"/>
    <w:qFormat/>
    <w:rPr>
      <w:rFonts w:eastAsia="Times New Roman" w:cs=""/>
    </w:rPr>
  </w:style>
  <w:style w:type="character" w:styleId="ListLabel1019">
    <w:name w:val="ListLabel 1019"/>
    <w:qFormat/>
    <w:rPr>
      <w:rFonts w:eastAsia="Times New Roman" w:cs=""/>
    </w:rPr>
  </w:style>
  <w:style w:type="character" w:styleId="ListLabel1020">
    <w:name w:val="ListLabel 1020"/>
    <w:qFormat/>
    <w:rPr>
      <w:rFonts w:ascii="Times New Roman" w:hAnsi="Times New Roman"/>
      <w:color w:val="auto"/>
      <w:sz w:val="24"/>
    </w:rPr>
  </w:style>
  <w:style w:type="character" w:styleId="ListLabel1021">
    <w:name w:val="ListLabel 1021"/>
    <w:qFormat/>
    <w:rPr>
      <w:rFonts w:ascii="Times New Roman" w:hAnsi="Times New Roman"/>
      <w:b/>
      <w:sz w:val="24"/>
    </w:rPr>
  </w:style>
  <w:style w:type="character" w:styleId="ListLabel1022">
    <w:name w:val="ListLabel 1022"/>
    <w:qFormat/>
    <w:rPr>
      <w:rFonts w:ascii="Times New Roman" w:hAnsi="Times New Roman"/>
      <w:b/>
      <w:sz w:val="24"/>
    </w:rPr>
  </w:style>
  <w:style w:type="character" w:styleId="ListLabel1023">
    <w:name w:val="ListLabel 1023"/>
    <w:qFormat/>
    <w:rPr>
      <w:rFonts w:ascii="Times New Roman" w:hAnsi="Times New Roman"/>
      <w:b w:val="false"/>
      <w:sz w:val="22"/>
    </w:rPr>
  </w:style>
  <w:style w:type="character" w:styleId="ListLabel1024">
    <w:name w:val="ListLabel 1024"/>
    <w:qFormat/>
    <w:rPr>
      <w:rFonts w:ascii="Times New Roman" w:hAnsi="Times New Roman" w:eastAsia="Calibri" w:cs="Times New Roman"/>
      <w:b w:val="false"/>
      <w:bCs w:val="false"/>
      <w:color w:val="000000"/>
      <w:sz w:val="22"/>
      <w:szCs w:val="22"/>
    </w:rPr>
  </w:style>
  <w:style w:type="character" w:styleId="ListLabel1025">
    <w:name w:val="ListLabel 1025"/>
    <w:qFormat/>
    <w:rPr>
      <w:rFonts w:ascii="Times New Roman" w:hAnsi="Times New Roman" w:eastAsia="Calibri" w:cs="Times New Roman"/>
      <w:bCs/>
      <w:color w:val="auto"/>
      <w:sz w:val="22"/>
      <w:szCs w:val="22"/>
      <w:u w:val="none"/>
    </w:rPr>
  </w:style>
  <w:style w:type="character" w:styleId="ListLabel1026">
    <w:name w:val="ListLabel 1026"/>
    <w:qFormat/>
    <w:rPr>
      <w:rFonts w:ascii="Times New Roman" w:hAnsi="Times New Roman" w:eastAsia="Calibri" w:cs="Times New Roman"/>
      <w:b w:val="false"/>
      <w:bCs/>
      <w:i w:val="false"/>
      <w:caps w:val="false"/>
      <w:smallCaps w:val="false"/>
      <w:strike w:val="false"/>
      <w:dstrike w:val="false"/>
      <w:color w:val="CE181E"/>
      <w:spacing w:val="0"/>
      <w:sz w:val="22"/>
      <w:szCs w:val="22"/>
      <w:u w:val="none"/>
    </w:rPr>
  </w:style>
  <w:style w:type="character" w:styleId="ListLabel1027">
    <w:name w:val="ListLabel 1027"/>
    <w:qFormat/>
    <w:rPr>
      <w:rFonts w:ascii="Times New Roman" w:hAnsi="Times New Roman" w:eastAsia="Calibri" w:cs="Times New Roman"/>
      <w:b w:val="false"/>
      <w:bCs/>
      <w:i w:val="false"/>
      <w:caps w:val="false"/>
      <w:smallCaps w:val="false"/>
      <w:strike w:val="false"/>
      <w:dstrike w:val="false"/>
      <w:color w:val="auto"/>
      <w:spacing w:val="0"/>
      <w:sz w:val="22"/>
      <w:szCs w:val="22"/>
      <w:highlight w:val="white"/>
      <w:u w:val="none"/>
      <w:effect w:val="none"/>
    </w:rPr>
  </w:style>
  <w:style w:type="character" w:styleId="ListLabel1028">
    <w:name w:val="ListLabel 1028"/>
    <w:qFormat/>
    <w:rPr>
      <w:sz w:val="22"/>
      <w:szCs w:val="22"/>
    </w:rPr>
  </w:style>
  <w:style w:type="character" w:styleId="ListLabel1029">
    <w:name w:val="ListLabel 1029"/>
    <w:qFormat/>
    <w:rPr>
      <w:b/>
      <w:sz w:val="22"/>
    </w:rPr>
  </w:style>
  <w:style w:type="character" w:styleId="ListLabel1030">
    <w:name w:val="ListLabel 1030"/>
    <w:qFormat/>
    <w:rPr>
      <w:b/>
      <w:color w:val="auto"/>
    </w:rPr>
  </w:style>
  <w:style w:type="character" w:styleId="ListLabel1031">
    <w:name w:val="ListLabel 1031"/>
    <w:qFormat/>
    <w:rPr>
      <w:rFonts w:ascii="Times New Roman" w:hAnsi="Times New Roman"/>
      <w:color w:val="auto"/>
    </w:rPr>
  </w:style>
  <w:style w:type="character" w:styleId="ListLabel1032">
    <w:name w:val="ListLabel 1032"/>
    <w:qFormat/>
    <w:rPr>
      <w:b w:val="false"/>
    </w:rPr>
  </w:style>
  <w:style w:type="character" w:styleId="ListLabel1033">
    <w:name w:val="ListLabel 1033"/>
    <w:qFormat/>
    <w:rPr>
      <w:b w:val="false"/>
    </w:rPr>
  </w:style>
  <w:style w:type="character" w:styleId="ListLabel1034">
    <w:name w:val="ListLabel 1034"/>
    <w:qFormat/>
    <w:rPr>
      <w:b w:val="false"/>
    </w:rPr>
  </w:style>
  <w:style w:type="character" w:styleId="ListLabel1035">
    <w:name w:val="ListLabel 1035"/>
    <w:qFormat/>
    <w:rPr>
      <w:b w:val="false"/>
    </w:rPr>
  </w:style>
  <w:style w:type="character" w:styleId="ListLabel1036">
    <w:name w:val="ListLabel 1036"/>
    <w:qFormat/>
    <w:rPr>
      <w:b w:val="false"/>
    </w:rPr>
  </w:style>
  <w:style w:type="character" w:styleId="ListLabel1037">
    <w:name w:val="ListLabel 1037"/>
    <w:qFormat/>
    <w:rPr>
      <w:b w:val="false"/>
    </w:rPr>
  </w:style>
  <w:style w:type="character" w:styleId="ListLabel1038">
    <w:name w:val="ListLabel 1038"/>
    <w:qFormat/>
    <w:rPr>
      <w:b w:val="false"/>
    </w:rPr>
  </w:style>
  <w:style w:type="character" w:styleId="ListLabel1039">
    <w:name w:val="ListLabel 1039"/>
    <w:qFormat/>
    <w:rPr>
      <w:b w:val="false"/>
    </w:rPr>
  </w:style>
  <w:style w:type="character" w:styleId="ListLabel1040">
    <w:name w:val="ListLabel 1040"/>
    <w:qFormat/>
    <w:rPr>
      <w:b w:val="false"/>
    </w:rPr>
  </w:style>
  <w:style w:type="character" w:styleId="ListLabel1041">
    <w:name w:val="ListLabel 1041"/>
    <w:qFormat/>
    <w:rPr>
      <w:b w:val="false"/>
    </w:rPr>
  </w:style>
  <w:style w:type="character" w:styleId="ListLabel1042">
    <w:name w:val="ListLabel 1042"/>
    <w:qFormat/>
    <w:rPr>
      <w:b w:val="false"/>
    </w:rPr>
  </w:style>
  <w:style w:type="character" w:styleId="ListLabel1043">
    <w:name w:val="ListLabel 1043"/>
    <w:qFormat/>
    <w:rPr>
      <w:b w:val="false"/>
    </w:rPr>
  </w:style>
  <w:style w:type="character" w:styleId="ListLabel1044">
    <w:name w:val="ListLabel 1044"/>
    <w:qFormat/>
    <w:rPr>
      <w:b w:val="false"/>
    </w:rPr>
  </w:style>
  <w:style w:type="character" w:styleId="ListLabel1045">
    <w:name w:val="ListLabel 1045"/>
    <w:qFormat/>
    <w:rPr>
      <w:b w:val="false"/>
    </w:rPr>
  </w:style>
  <w:style w:type="character" w:styleId="ListLabel1046">
    <w:name w:val="ListLabel 1046"/>
    <w:qFormat/>
    <w:rPr>
      <w:b w:val="false"/>
    </w:rPr>
  </w:style>
  <w:style w:type="character" w:styleId="ListLabel1047">
    <w:name w:val="ListLabel 1047"/>
    <w:qFormat/>
    <w:rPr>
      <w:b w:val="false"/>
    </w:rPr>
  </w:style>
  <w:style w:type="character" w:styleId="ListLabel1048">
    <w:name w:val="ListLabel 1048"/>
    <w:qFormat/>
    <w:rPr>
      <w:rFonts w:cs="Times New Roman"/>
      <w:sz w:val="22"/>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b w:val="false"/>
    </w:rPr>
  </w:style>
  <w:style w:type="character" w:styleId="ListLabel1058">
    <w:name w:val="ListLabel 1058"/>
    <w:qFormat/>
    <w:rPr>
      <w:b w:val="false"/>
    </w:rPr>
  </w:style>
  <w:style w:type="character" w:styleId="ListLabel1059">
    <w:name w:val="ListLabel 1059"/>
    <w:qFormat/>
    <w:rPr>
      <w:rFonts w:ascii="Times New Roman" w:hAnsi="Times New Roman"/>
      <w:b w:val="false"/>
      <w:bCs w:val="false"/>
      <w:sz w:val="24"/>
    </w:rPr>
  </w:style>
  <w:style w:type="character" w:styleId="ListLabel1060">
    <w:name w:val="ListLabel 1060"/>
    <w:qFormat/>
    <w:rPr>
      <w:rFonts w:eastAsia="Times New Roman" w:cs=""/>
    </w:rPr>
  </w:style>
  <w:style w:type="character" w:styleId="ListLabel1061">
    <w:name w:val="ListLabel 1061"/>
    <w:qFormat/>
    <w:rPr>
      <w:rFonts w:ascii="Times New Roman" w:hAnsi="Times New Roman" w:eastAsia="Times New Roman" w:cs=""/>
      <w:b w:val="false"/>
      <w:bCs w:val="false"/>
      <w:sz w:val="24"/>
      <w:szCs w:val="24"/>
    </w:rPr>
  </w:style>
  <w:style w:type="character" w:styleId="ListLabel1062">
    <w:name w:val="ListLabel 1062"/>
    <w:qFormat/>
    <w:rPr>
      <w:rFonts w:eastAsia="Times New Roman" w:cs=""/>
    </w:rPr>
  </w:style>
  <w:style w:type="character" w:styleId="ListLabel1063">
    <w:name w:val="ListLabel 1063"/>
    <w:qFormat/>
    <w:rPr>
      <w:rFonts w:eastAsia="Times New Roman" w:cs=""/>
    </w:rPr>
  </w:style>
  <w:style w:type="character" w:styleId="ListLabel1064">
    <w:name w:val="ListLabel 1064"/>
    <w:qFormat/>
    <w:rPr>
      <w:rFonts w:eastAsia="Times New Roman" w:cs=""/>
    </w:rPr>
  </w:style>
  <w:style w:type="character" w:styleId="ListLabel1065">
    <w:name w:val="ListLabel 1065"/>
    <w:qFormat/>
    <w:rPr>
      <w:rFonts w:eastAsia="Times New Roman" w:cs=""/>
    </w:rPr>
  </w:style>
  <w:style w:type="character" w:styleId="ListLabel1066">
    <w:name w:val="ListLabel 1066"/>
    <w:qFormat/>
    <w:rPr>
      <w:rFonts w:eastAsia="Times New Roman" w:cs=""/>
    </w:rPr>
  </w:style>
  <w:style w:type="character" w:styleId="ListLabel1067">
    <w:name w:val="ListLabel 1067"/>
    <w:qFormat/>
    <w:rPr>
      <w:rFonts w:eastAsia="Times New Roman" w:cs=""/>
    </w:rPr>
  </w:style>
  <w:style w:type="character" w:styleId="ListLabel1068">
    <w:name w:val="ListLabel 1068"/>
    <w:qFormat/>
    <w:rPr>
      <w:rFonts w:eastAsia="Times New Roman" w:cs=""/>
    </w:rPr>
  </w:style>
  <w:style w:type="character" w:styleId="ListLabel1069">
    <w:name w:val="ListLabel 1069"/>
    <w:qFormat/>
    <w:rPr>
      <w:rFonts w:ascii="Times New Roman" w:hAnsi="Times New Roman"/>
      <w:color w:val="auto"/>
      <w:sz w:val="24"/>
    </w:rPr>
  </w:style>
  <w:style w:type="character" w:styleId="ListLabel1070">
    <w:name w:val="ListLabel 1070"/>
    <w:qFormat/>
    <w:rPr>
      <w:rFonts w:ascii="Times New Roman" w:hAnsi="Times New Roman"/>
      <w:b/>
      <w:sz w:val="24"/>
    </w:rPr>
  </w:style>
  <w:style w:type="character" w:styleId="ListLabel1071">
    <w:name w:val="ListLabel 1071"/>
    <w:qFormat/>
    <w:rPr>
      <w:rFonts w:ascii="Times New Roman" w:hAnsi="Times New Roman"/>
      <w:b/>
      <w:sz w:val="24"/>
    </w:rPr>
  </w:style>
  <w:style w:type="character" w:styleId="ListLabel1072">
    <w:name w:val="ListLabel 1072"/>
    <w:qFormat/>
    <w:rPr>
      <w:b w:val="false"/>
      <w:sz w:val="22"/>
    </w:rPr>
  </w:style>
  <w:style w:type="character" w:styleId="ListLabel1073">
    <w:name w:val="ListLabel 1073"/>
    <w:qFormat/>
    <w:rPr>
      <w:rFonts w:ascii="Times New Roman" w:hAnsi="Times New Roman" w:eastAsia="Calibri" w:cs="Times New Roman"/>
      <w:b w:val="false"/>
      <w:bCs w:val="false"/>
      <w:color w:val="000000"/>
      <w:sz w:val="22"/>
      <w:szCs w:val="22"/>
    </w:rPr>
  </w:style>
  <w:style w:type="character" w:styleId="ListLabel1074">
    <w:name w:val="ListLabel 1074"/>
    <w:qFormat/>
    <w:rPr>
      <w:rFonts w:ascii="Times New Roman" w:hAnsi="Times New Roman" w:eastAsia="Calibri" w:cs="Times New Roman"/>
      <w:bCs/>
      <w:color w:val="auto"/>
      <w:sz w:val="22"/>
      <w:szCs w:val="22"/>
      <w:u w:val="none"/>
    </w:rPr>
  </w:style>
  <w:style w:type="character" w:styleId="ListLabel1075">
    <w:name w:val="ListLabel 1075"/>
    <w:qFormat/>
    <w:rPr>
      <w:rFonts w:ascii="Times New Roman" w:hAnsi="Times New Roman" w:eastAsia="Calibri" w:cs="Times New Roman"/>
      <w:b w:val="false"/>
      <w:bCs/>
      <w:i w:val="false"/>
      <w:caps w:val="false"/>
      <w:smallCaps w:val="false"/>
      <w:strike w:val="false"/>
      <w:dstrike w:val="false"/>
      <w:color w:val="CE181E"/>
      <w:spacing w:val="0"/>
      <w:sz w:val="22"/>
      <w:szCs w:val="22"/>
      <w:u w:val="none"/>
    </w:rPr>
  </w:style>
  <w:style w:type="character" w:styleId="ListLabel1076">
    <w:name w:val="ListLabel 1076"/>
    <w:qFormat/>
    <w:rPr>
      <w:rFonts w:ascii="Times New Roman" w:hAnsi="Times New Roman" w:eastAsia="Calibri" w:cs="Times New Roman"/>
      <w:b w:val="false"/>
      <w:bCs/>
      <w:i w:val="false"/>
      <w:caps w:val="false"/>
      <w:smallCaps w:val="false"/>
      <w:strike w:val="false"/>
      <w:dstrike w:val="false"/>
      <w:color w:val="auto"/>
      <w:spacing w:val="0"/>
      <w:sz w:val="22"/>
      <w:szCs w:val="22"/>
      <w:highlight w:val="white"/>
      <w:u w:val="none"/>
      <w:effect w:val="none"/>
    </w:rPr>
  </w:style>
  <w:style w:type="character" w:styleId="ListLabel1077">
    <w:name w:val="ListLabel 1077"/>
    <w:qFormat/>
    <w:rPr>
      <w:sz w:val="22"/>
      <w:szCs w:val="22"/>
    </w:rPr>
  </w:style>
  <w:style w:type="character" w:styleId="ListLabel1078">
    <w:name w:val="ListLabel 1078"/>
    <w:qFormat/>
    <w:rPr>
      <w:b/>
      <w:sz w:val="22"/>
    </w:rPr>
  </w:style>
  <w:style w:type="character" w:styleId="ListLabel1079">
    <w:name w:val="ListLabel 1079"/>
    <w:qFormat/>
    <w:rPr>
      <w:b/>
      <w:color w:val="auto"/>
    </w:rPr>
  </w:style>
  <w:style w:type="character" w:styleId="ListLabel1080">
    <w:name w:val="ListLabel 1080"/>
    <w:qFormat/>
    <w:rPr>
      <w:rFonts w:ascii="Times New Roman" w:hAnsi="Times New Roman"/>
      <w:color w:val="auto"/>
    </w:rPr>
  </w:style>
  <w:style w:type="character" w:styleId="ListLabel1081">
    <w:name w:val="ListLabel 1081"/>
    <w:qFormat/>
    <w:rPr>
      <w:b w:val="false"/>
    </w:rPr>
  </w:style>
  <w:style w:type="character" w:styleId="ListLabel1082">
    <w:name w:val="ListLabel 1082"/>
    <w:qFormat/>
    <w:rPr>
      <w:b w:val="false"/>
    </w:rPr>
  </w:style>
  <w:style w:type="character" w:styleId="ListLabel1083">
    <w:name w:val="ListLabel 1083"/>
    <w:qFormat/>
    <w:rPr>
      <w:b w:val="false"/>
    </w:rPr>
  </w:style>
  <w:style w:type="character" w:styleId="ListLabel1084">
    <w:name w:val="ListLabel 1084"/>
    <w:qFormat/>
    <w:rPr>
      <w:b w:val="false"/>
    </w:rPr>
  </w:style>
  <w:style w:type="character" w:styleId="ListLabel1085">
    <w:name w:val="ListLabel 1085"/>
    <w:qFormat/>
    <w:rPr>
      <w:b w:val="false"/>
    </w:rPr>
  </w:style>
  <w:style w:type="character" w:styleId="ListLabel1086">
    <w:name w:val="ListLabel 1086"/>
    <w:qFormat/>
    <w:rPr>
      <w:b w:val="false"/>
    </w:rPr>
  </w:style>
  <w:style w:type="character" w:styleId="ListLabel1087">
    <w:name w:val="ListLabel 1087"/>
    <w:qFormat/>
    <w:rPr>
      <w:b w:val="false"/>
    </w:rPr>
  </w:style>
  <w:style w:type="character" w:styleId="ListLabel1088">
    <w:name w:val="ListLabel 1088"/>
    <w:qFormat/>
    <w:rPr>
      <w:b w:val="false"/>
    </w:rPr>
  </w:style>
  <w:style w:type="character" w:styleId="ListLabel1089">
    <w:name w:val="ListLabel 1089"/>
    <w:qFormat/>
    <w:rPr>
      <w:b w:val="false"/>
    </w:rPr>
  </w:style>
  <w:style w:type="character" w:styleId="ListLabel1090">
    <w:name w:val="ListLabel 1090"/>
    <w:qFormat/>
    <w:rPr>
      <w:b w:val="false"/>
    </w:rPr>
  </w:style>
  <w:style w:type="character" w:styleId="ListLabel1091">
    <w:name w:val="ListLabel 1091"/>
    <w:qFormat/>
    <w:rPr>
      <w:b w:val="false"/>
    </w:rPr>
  </w:style>
  <w:style w:type="character" w:styleId="ListLabel1092">
    <w:name w:val="ListLabel 1092"/>
    <w:qFormat/>
    <w:rPr>
      <w:b w:val="false"/>
    </w:rPr>
  </w:style>
  <w:style w:type="character" w:styleId="ListLabel1093">
    <w:name w:val="ListLabel 1093"/>
    <w:qFormat/>
    <w:rPr>
      <w:b w:val="false"/>
    </w:rPr>
  </w:style>
  <w:style w:type="character" w:styleId="ListLabel1094">
    <w:name w:val="ListLabel 1094"/>
    <w:qFormat/>
    <w:rPr>
      <w:b w:val="false"/>
    </w:rPr>
  </w:style>
  <w:style w:type="character" w:styleId="ListLabel1095">
    <w:name w:val="ListLabel 1095"/>
    <w:qFormat/>
    <w:rPr>
      <w:b w:val="false"/>
    </w:rPr>
  </w:style>
  <w:style w:type="character" w:styleId="ListLabel1096">
    <w:name w:val="ListLabel 1096"/>
    <w:qFormat/>
    <w:rPr>
      <w:b w:val="false"/>
    </w:rPr>
  </w:style>
  <w:style w:type="character" w:styleId="ListLabel1097">
    <w:name w:val="ListLabel 1097"/>
    <w:qFormat/>
    <w:rPr>
      <w:rFonts w:cs="Times New Roman"/>
      <w:sz w:val="22"/>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b w:val="false"/>
    </w:rPr>
  </w:style>
  <w:style w:type="character" w:styleId="ListLabel1107">
    <w:name w:val="ListLabel 1107"/>
    <w:qFormat/>
    <w:rPr>
      <w:b w:val="false"/>
    </w:rPr>
  </w:style>
  <w:style w:type="character" w:styleId="ListLabel1108">
    <w:name w:val="ListLabel 1108"/>
    <w:qFormat/>
    <w:rPr>
      <w:rFonts w:ascii="Times New Roman" w:hAnsi="Times New Roman"/>
      <w:b/>
      <w:bCs w:val="false"/>
      <w:sz w:val="24"/>
    </w:rPr>
  </w:style>
  <w:style w:type="character" w:styleId="ListLabel1109">
    <w:name w:val="ListLabel 1109"/>
    <w:qFormat/>
    <w:rPr>
      <w:rFonts w:eastAsia="Times New Roman" w:cs=""/>
    </w:rPr>
  </w:style>
  <w:style w:type="character" w:styleId="ListLabel1110">
    <w:name w:val="ListLabel 1110"/>
    <w:qFormat/>
    <w:rPr>
      <w:rFonts w:ascii="Times New Roman" w:hAnsi="Times New Roman" w:eastAsia="Times New Roman" w:cs=""/>
      <w:b w:val="false"/>
      <w:bCs w:val="false"/>
      <w:sz w:val="24"/>
      <w:szCs w:val="24"/>
    </w:rPr>
  </w:style>
  <w:style w:type="character" w:styleId="ListLabel1111">
    <w:name w:val="ListLabel 1111"/>
    <w:qFormat/>
    <w:rPr>
      <w:rFonts w:eastAsia="Times New Roman" w:cs=""/>
    </w:rPr>
  </w:style>
  <w:style w:type="character" w:styleId="ListLabel1112">
    <w:name w:val="ListLabel 1112"/>
    <w:qFormat/>
    <w:rPr>
      <w:rFonts w:eastAsia="Times New Roman" w:cs=""/>
    </w:rPr>
  </w:style>
  <w:style w:type="character" w:styleId="ListLabel1113">
    <w:name w:val="ListLabel 1113"/>
    <w:qFormat/>
    <w:rPr>
      <w:rFonts w:eastAsia="Times New Roman" w:cs=""/>
    </w:rPr>
  </w:style>
  <w:style w:type="character" w:styleId="ListLabel1114">
    <w:name w:val="ListLabel 1114"/>
    <w:qFormat/>
    <w:rPr>
      <w:rFonts w:eastAsia="Times New Roman" w:cs=""/>
    </w:rPr>
  </w:style>
  <w:style w:type="character" w:styleId="ListLabel1115">
    <w:name w:val="ListLabel 1115"/>
    <w:qFormat/>
    <w:rPr>
      <w:rFonts w:eastAsia="Times New Roman" w:cs=""/>
    </w:rPr>
  </w:style>
  <w:style w:type="character" w:styleId="ListLabel1116">
    <w:name w:val="ListLabel 1116"/>
    <w:qFormat/>
    <w:rPr>
      <w:rFonts w:eastAsia="Times New Roman" w:cs=""/>
    </w:rPr>
  </w:style>
  <w:style w:type="character" w:styleId="ListLabel1117">
    <w:name w:val="ListLabel 1117"/>
    <w:qFormat/>
    <w:rPr>
      <w:rFonts w:eastAsia="Times New Roman" w:cs=""/>
    </w:rPr>
  </w:style>
  <w:style w:type="character" w:styleId="ListLabel1118">
    <w:name w:val="ListLabel 1118"/>
    <w:qFormat/>
    <w:rPr>
      <w:rFonts w:ascii="Times New Roman" w:hAnsi="Times New Roman"/>
      <w:color w:val="auto"/>
      <w:sz w:val="24"/>
    </w:rPr>
  </w:style>
  <w:style w:type="character" w:styleId="ListLabel1119">
    <w:name w:val="ListLabel 1119"/>
    <w:qFormat/>
    <w:rPr>
      <w:rFonts w:ascii="Times New Roman" w:hAnsi="Times New Roman"/>
      <w:b/>
      <w:sz w:val="24"/>
    </w:rPr>
  </w:style>
  <w:style w:type="character" w:styleId="ListLabel1120">
    <w:name w:val="ListLabel 1120"/>
    <w:qFormat/>
    <w:rPr>
      <w:rFonts w:ascii="Times New Roman" w:hAnsi="Times New Roman"/>
      <w:b/>
      <w:sz w:val="24"/>
    </w:rPr>
  </w:style>
  <w:style w:type="character" w:styleId="ListLabel1121">
    <w:name w:val="ListLabel 1121"/>
    <w:qFormat/>
    <w:rPr>
      <w:b w:val="false"/>
      <w:sz w:val="22"/>
    </w:rPr>
  </w:style>
  <w:style w:type="character" w:styleId="ListLabel1122">
    <w:name w:val="ListLabel 1122"/>
    <w:qFormat/>
    <w:rPr>
      <w:rFonts w:ascii="Times New Roman" w:hAnsi="Times New Roman" w:eastAsia="Calibri" w:cs="Times New Roman"/>
      <w:b w:val="false"/>
      <w:bCs w:val="false"/>
      <w:color w:val="000000"/>
      <w:sz w:val="24"/>
      <w:szCs w:val="24"/>
    </w:rPr>
  </w:style>
  <w:style w:type="character" w:styleId="ListLabel1123">
    <w:name w:val="ListLabel 1123"/>
    <w:qFormat/>
    <w:rPr>
      <w:rFonts w:ascii="Times New Roman" w:hAnsi="Times New Roman" w:eastAsia="Calibri" w:cs="Times New Roman"/>
      <w:bCs/>
      <w:color w:val="auto"/>
      <w:sz w:val="24"/>
      <w:szCs w:val="24"/>
      <w:u w:val="none"/>
    </w:rPr>
  </w:style>
  <w:style w:type="character" w:styleId="ListLabel1124">
    <w:name w:val="ListLabel 1124"/>
    <w:qFormat/>
    <w:rPr>
      <w:rFonts w:ascii="Times New Roman" w:hAnsi="Times New Roman" w:eastAsia="Calibri" w:cs="Times New Roman"/>
      <w:b w:val="false"/>
      <w:bCs/>
      <w:i w:val="false"/>
      <w:caps w:val="false"/>
      <w:smallCaps w:val="false"/>
      <w:strike w:val="false"/>
      <w:dstrike w:val="false"/>
      <w:color w:val="CE181E"/>
      <w:spacing w:val="0"/>
      <w:sz w:val="24"/>
      <w:szCs w:val="24"/>
      <w:u w:val="none"/>
    </w:rPr>
  </w:style>
  <w:style w:type="character" w:styleId="ListLabel1125">
    <w:name w:val="ListLabel 1125"/>
    <w:qFormat/>
    <w:rPr>
      <w:rFonts w:ascii="Times New Roman" w:hAnsi="Times New Roman" w:eastAsia="Calibri" w:cs="Times New Roman"/>
      <w:b w:val="false"/>
      <w:bCs/>
      <w:i w:val="false"/>
      <w:caps w:val="false"/>
      <w:smallCaps w:val="false"/>
      <w:strike w:val="false"/>
      <w:dstrike w:val="false"/>
      <w:color w:val="auto"/>
      <w:spacing w:val="0"/>
      <w:sz w:val="24"/>
      <w:szCs w:val="24"/>
      <w:highlight w:val="white"/>
      <w:u w:val="none"/>
      <w:effect w:val="none"/>
    </w:rPr>
  </w:style>
  <w:style w:type="character" w:styleId="ListLabel1126">
    <w:name w:val="ListLabel 1126"/>
    <w:qFormat/>
    <w:rPr>
      <w:rFonts w:ascii="Times New Roman" w:hAnsi="Times New Roman"/>
      <w:sz w:val="24"/>
      <w:szCs w:val="24"/>
    </w:rPr>
  </w:style>
  <w:style w:type="character" w:styleId="ListLabel1127">
    <w:name w:val="ListLabel 1127"/>
    <w:qFormat/>
    <w:rPr>
      <w:b/>
      <w:sz w:val="22"/>
    </w:rPr>
  </w:style>
  <w:style w:type="character" w:styleId="ListLabel1128">
    <w:name w:val="ListLabel 1128"/>
    <w:qFormat/>
    <w:rPr>
      <w:b/>
      <w:color w:val="auto"/>
    </w:rPr>
  </w:style>
  <w:style w:type="character" w:styleId="ListLabel1129">
    <w:name w:val="ListLabel 1129"/>
    <w:qFormat/>
    <w:rPr>
      <w:rFonts w:ascii="Times New Roman" w:hAnsi="Times New Roman"/>
      <w:color w:val="auto"/>
    </w:rPr>
  </w:style>
  <w:style w:type="character" w:styleId="ListLabel1130">
    <w:name w:val="ListLabel 1130"/>
    <w:qFormat/>
    <w:rPr>
      <w:b w:val="false"/>
    </w:rPr>
  </w:style>
  <w:style w:type="character" w:styleId="ListLabel1131">
    <w:name w:val="ListLabel 1131"/>
    <w:qFormat/>
    <w:rPr>
      <w:b w:val="false"/>
    </w:rPr>
  </w:style>
  <w:style w:type="character" w:styleId="ListLabel1132">
    <w:name w:val="ListLabel 1132"/>
    <w:qFormat/>
    <w:rPr>
      <w:b w:val="false"/>
    </w:rPr>
  </w:style>
  <w:style w:type="character" w:styleId="ListLabel1133">
    <w:name w:val="ListLabel 1133"/>
    <w:qFormat/>
    <w:rPr>
      <w:b w:val="false"/>
    </w:rPr>
  </w:style>
  <w:style w:type="character" w:styleId="ListLabel1134">
    <w:name w:val="ListLabel 1134"/>
    <w:qFormat/>
    <w:rPr>
      <w:b w:val="false"/>
    </w:rPr>
  </w:style>
  <w:style w:type="character" w:styleId="ListLabel1135">
    <w:name w:val="ListLabel 1135"/>
    <w:qFormat/>
    <w:rPr>
      <w:b w:val="false"/>
    </w:rPr>
  </w:style>
  <w:style w:type="character" w:styleId="ListLabel1136">
    <w:name w:val="ListLabel 1136"/>
    <w:qFormat/>
    <w:rPr>
      <w:b w:val="false"/>
    </w:rPr>
  </w:style>
  <w:style w:type="character" w:styleId="ListLabel1137">
    <w:name w:val="ListLabel 1137"/>
    <w:qFormat/>
    <w:rPr>
      <w:b w:val="false"/>
    </w:rPr>
  </w:style>
  <w:style w:type="character" w:styleId="ListLabel1138">
    <w:name w:val="ListLabel 1138"/>
    <w:qFormat/>
    <w:rPr>
      <w:b w:val="false"/>
    </w:rPr>
  </w:style>
  <w:style w:type="character" w:styleId="ListLabel1139">
    <w:name w:val="ListLabel 1139"/>
    <w:qFormat/>
    <w:rPr>
      <w:b w:val="false"/>
    </w:rPr>
  </w:style>
  <w:style w:type="character" w:styleId="ListLabel1140">
    <w:name w:val="ListLabel 1140"/>
    <w:qFormat/>
    <w:rPr>
      <w:b w:val="false"/>
    </w:rPr>
  </w:style>
  <w:style w:type="character" w:styleId="ListLabel1141">
    <w:name w:val="ListLabel 1141"/>
    <w:qFormat/>
    <w:rPr>
      <w:b w:val="false"/>
    </w:rPr>
  </w:style>
  <w:style w:type="character" w:styleId="ListLabel1142">
    <w:name w:val="ListLabel 1142"/>
    <w:qFormat/>
    <w:rPr>
      <w:b w:val="false"/>
    </w:rPr>
  </w:style>
  <w:style w:type="character" w:styleId="ListLabel1143">
    <w:name w:val="ListLabel 1143"/>
    <w:qFormat/>
    <w:rPr>
      <w:b w:val="false"/>
    </w:rPr>
  </w:style>
  <w:style w:type="character" w:styleId="ListLabel1144">
    <w:name w:val="ListLabel 1144"/>
    <w:qFormat/>
    <w:rPr>
      <w:b w:val="false"/>
    </w:rPr>
  </w:style>
  <w:style w:type="character" w:styleId="ListLabel1145">
    <w:name w:val="ListLabel 1145"/>
    <w:qFormat/>
    <w:rPr>
      <w:b w:val="false"/>
    </w:rPr>
  </w:style>
  <w:style w:type="character" w:styleId="ListLabel1146">
    <w:name w:val="ListLabel 1146"/>
    <w:qFormat/>
    <w:rPr>
      <w:rFonts w:cs="Times New Roman"/>
      <w:sz w:val="22"/>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rFonts w:cs="Symbol"/>
    </w:rPr>
  </w:style>
  <w:style w:type="character" w:styleId="ListLabel1153">
    <w:name w:val="ListLabel 1153"/>
    <w:qFormat/>
    <w:rPr>
      <w:rFonts w:cs="Courier New"/>
    </w:rPr>
  </w:style>
  <w:style w:type="character" w:styleId="ListLabel1154">
    <w:name w:val="ListLabel 1154"/>
    <w:qFormat/>
    <w:rPr>
      <w:rFonts w:cs="Wingdings"/>
    </w:rPr>
  </w:style>
  <w:style w:type="character" w:styleId="ListLabel1155">
    <w:name w:val="ListLabel 1155"/>
    <w:qFormat/>
    <w:rPr>
      <w:b w:val="false"/>
    </w:rPr>
  </w:style>
  <w:style w:type="character" w:styleId="ListLabel1156">
    <w:name w:val="ListLabel 1156"/>
    <w:qFormat/>
    <w:rPr>
      <w:b w:val="false"/>
    </w:rPr>
  </w:style>
  <w:style w:type="character" w:styleId="ListLabel1157">
    <w:name w:val="ListLabel 1157"/>
    <w:qFormat/>
    <w:rPr>
      <w:rFonts w:ascii="Times New Roman" w:hAnsi="Times New Roman"/>
      <w:b/>
      <w:bCs w:val="false"/>
      <w:sz w:val="24"/>
    </w:rPr>
  </w:style>
  <w:style w:type="character" w:styleId="ListLabel1158">
    <w:name w:val="ListLabel 1158"/>
    <w:qFormat/>
    <w:rPr>
      <w:rFonts w:eastAsia="Times New Roman" w:cs=""/>
    </w:rPr>
  </w:style>
  <w:style w:type="character" w:styleId="ListLabel1159">
    <w:name w:val="ListLabel 1159"/>
    <w:qFormat/>
    <w:rPr>
      <w:rFonts w:ascii="Times New Roman" w:hAnsi="Times New Roman" w:eastAsia="Times New Roman" w:cs=""/>
      <w:b w:val="false"/>
      <w:bCs w:val="false"/>
      <w:sz w:val="24"/>
      <w:szCs w:val="24"/>
    </w:rPr>
  </w:style>
  <w:style w:type="character" w:styleId="ListLabel1160">
    <w:name w:val="ListLabel 1160"/>
    <w:qFormat/>
    <w:rPr>
      <w:rFonts w:eastAsia="Times New Roman" w:cs=""/>
    </w:rPr>
  </w:style>
  <w:style w:type="character" w:styleId="ListLabel1161">
    <w:name w:val="ListLabel 1161"/>
    <w:qFormat/>
    <w:rPr>
      <w:rFonts w:eastAsia="Times New Roman" w:cs=""/>
    </w:rPr>
  </w:style>
  <w:style w:type="character" w:styleId="ListLabel1162">
    <w:name w:val="ListLabel 1162"/>
    <w:qFormat/>
    <w:rPr>
      <w:rFonts w:eastAsia="Times New Roman" w:cs=""/>
    </w:rPr>
  </w:style>
  <w:style w:type="character" w:styleId="ListLabel1163">
    <w:name w:val="ListLabel 1163"/>
    <w:qFormat/>
    <w:rPr>
      <w:rFonts w:eastAsia="Times New Roman" w:cs=""/>
    </w:rPr>
  </w:style>
  <w:style w:type="character" w:styleId="ListLabel1164">
    <w:name w:val="ListLabel 1164"/>
    <w:qFormat/>
    <w:rPr>
      <w:rFonts w:eastAsia="Times New Roman" w:cs=""/>
    </w:rPr>
  </w:style>
  <w:style w:type="character" w:styleId="ListLabel1165">
    <w:name w:val="ListLabel 1165"/>
    <w:qFormat/>
    <w:rPr>
      <w:rFonts w:eastAsia="Times New Roman" w:cs=""/>
    </w:rPr>
  </w:style>
  <w:style w:type="character" w:styleId="ListLabel1166">
    <w:name w:val="ListLabel 1166"/>
    <w:qFormat/>
    <w:rPr>
      <w:rFonts w:eastAsia="Times New Roman" w:cs=""/>
    </w:rPr>
  </w:style>
  <w:style w:type="character" w:styleId="ListLabel1167">
    <w:name w:val="ListLabel 1167"/>
    <w:qFormat/>
    <w:rPr>
      <w:rFonts w:ascii="Times New Roman" w:hAnsi="Times New Roman"/>
      <w:color w:val="auto"/>
      <w:sz w:val="24"/>
    </w:rPr>
  </w:style>
  <w:style w:type="character" w:styleId="ListLabel1168">
    <w:name w:val="ListLabel 1168"/>
    <w:qFormat/>
    <w:rPr>
      <w:rFonts w:ascii="Times New Roman" w:hAnsi="Times New Roman"/>
      <w:b/>
      <w:sz w:val="24"/>
    </w:rPr>
  </w:style>
  <w:style w:type="character" w:styleId="ListLabel1169">
    <w:name w:val="ListLabel 1169"/>
    <w:qFormat/>
    <w:rPr>
      <w:rFonts w:ascii="Times New Roman" w:hAnsi="Times New Roman"/>
      <w:b/>
      <w:sz w:val="24"/>
    </w:rPr>
  </w:style>
  <w:style w:type="character" w:styleId="ListLabel1170">
    <w:name w:val="ListLabel 1170"/>
    <w:qFormat/>
    <w:rPr>
      <w:b w:val="false"/>
      <w:sz w:val="22"/>
    </w:rPr>
  </w:style>
  <w:style w:type="character" w:styleId="ListLabel1171">
    <w:name w:val="ListLabel 1171"/>
    <w:qFormat/>
    <w:rPr>
      <w:rFonts w:ascii="Times New Roman" w:hAnsi="Times New Roman" w:eastAsia="Calibri" w:cs="Times New Roman"/>
      <w:b w:val="false"/>
      <w:bCs w:val="false"/>
      <w:color w:val="000000"/>
      <w:sz w:val="24"/>
      <w:szCs w:val="24"/>
    </w:rPr>
  </w:style>
  <w:style w:type="character" w:styleId="ListLabel1172">
    <w:name w:val="ListLabel 1172"/>
    <w:qFormat/>
    <w:rPr>
      <w:rFonts w:ascii="Times New Roman" w:hAnsi="Times New Roman" w:eastAsia="Calibri" w:cs="Times New Roman"/>
      <w:bCs/>
      <w:color w:val="auto"/>
      <w:sz w:val="24"/>
      <w:szCs w:val="24"/>
      <w:u w:val="none"/>
    </w:rPr>
  </w:style>
  <w:style w:type="character" w:styleId="ListLabel1173">
    <w:name w:val="ListLabel 1173"/>
    <w:qFormat/>
    <w:rPr>
      <w:rFonts w:ascii="Times New Roman" w:hAnsi="Times New Roman" w:eastAsia="Calibri" w:cs="Times New Roman"/>
      <w:b w:val="false"/>
      <w:bCs/>
      <w:i w:val="false"/>
      <w:caps w:val="false"/>
      <w:smallCaps w:val="false"/>
      <w:strike w:val="false"/>
      <w:dstrike w:val="false"/>
      <w:color w:val="CE181E"/>
      <w:spacing w:val="0"/>
      <w:sz w:val="24"/>
      <w:szCs w:val="24"/>
      <w:u w:val="none"/>
    </w:rPr>
  </w:style>
  <w:style w:type="character" w:styleId="ListLabel1174">
    <w:name w:val="ListLabel 1174"/>
    <w:qFormat/>
    <w:rPr>
      <w:rFonts w:ascii="Times New Roman" w:hAnsi="Times New Roman" w:eastAsia="Calibri" w:cs="Times New Roman"/>
      <w:b w:val="false"/>
      <w:bCs/>
      <w:i w:val="false"/>
      <w:caps w:val="false"/>
      <w:smallCaps w:val="false"/>
      <w:strike w:val="false"/>
      <w:dstrike w:val="false"/>
      <w:color w:val="auto"/>
      <w:spacing w:val="0"/>
      <w:sz w:val="24"/>
      <w:szCs w:val="24"/>
      <w:highlight w:val="white"/>
      <w:u w:val="none"/>
      <w:effect w:val="none"/>
    </w:rPr>
  </w:style>
  <w:style w:type="character" w:styleId="ListLabel1175">
    <w:name w:val="ListLabel 1175"/>
    <w:qFormat/>
    <w:rPr>
      <w:sz w:val="24"/>
      <w:szCs w:val="24"/>
    </w:rPr>
  </w:style>
  <w:style w:type="character" w:styleId="ListLabel1176">
    <w:name w:val="ListLabel 1176"/>
    <w:qFormat/>
    <w:rPr>
      <w:b/>
      <w:sz w:val="22"/>
    </w:rPr>
  </w:style>
  <w:style w:type="character" w:styleId="ListLabel1177">
    <w:name w:val="ListLabel 1177"/>
    <w:qFormat/>
    <w:rPr>
      <w:b/>
      <w:color w:val="auto"/>
    </w:rPr>
  </w:style>
  <w:style w:type="character" w:styleId="ListLabel1178">
    <w:name w:val="ListLabel 1178"/>
    <w:qFormat/>
    <w:rPr>
      <w:rFonts w:ascii="Times New Roman" w:hAnsi="Times New Roman"/>
      <w:color w:val="auto"/>
    </w:rPr>
  </w:style>
  <w:style w:type="character" w:styleId="ListLabel1179">
    <w:name w:val="ListLabel 1179"/>
    <w:qFormat/>
    <w:rPr>
      <w:b w:val="false"/>
    </w:rPr>
  </w:style>
  <w:style w:type="character" w:styleId="ListLabel1180">
    <w:name w:val="ListLabel 1180"/>
    <w:qFormat/>
    <w:rPr>
      <w:b w:val="false"/>
    </w:rPr>
  </w:style>
  <w:style w:type="character" w:styleId="ListLabel1181">
    <w:name w:val="ListLabel 1181"/>
    <w:qFormat/>
    <w:rPr>
      <w:b w:val="false"/>
    </w:rPr>
  </w:style>
  <w:style w:type="character" w:styleId="ListLabel1182">
    <w:name w:val="ListLabel 1182"/>
    <w:qFormat/>
    <w:rPr>
      <w:b w:val="false"/>
    </w:rPr>
  </w:style>
  <w:style w:type="character" w:styleId="ListLabel1183">
    <w:name w:val="ListLabel 1183"/>
    <w:qFormat/>
    <w:rPr>
      <w:b w:val="false"/>
    </w:rPr>
  </w:style>
  <w:style w:type="character" w:styleId="ListLabel1184">
    <w:name w:val="ListLabel 1184"/>
    <w:qFormat/>
    <w:rPr>
      <w:b w:val="false"/>
    </w:rPr>
  </w:style>
  <w:style w:type="character" w:styleId="ListLabel1185">
    <w:name w:val="ListLabel 1185"/>
    <w:qFormat/>
    <w:rPr>
      <w:b w:val="false"/>
    </w:rPr>
  </w:style>
  <w:style w:type="character" w:styleId="ListLabel1186">
    <w:name w:val="ListLabel 1186"/>
    <w:qFormat/>
    <w:rPr>
      <w:b w:val="false"/>
    </w:rPr>
  </w:style>
  <w:style w:type="character" w:styleId="ListLabel1187">
    <w:name w:val="ListLabel 1187"/>
    <w:qFormat/>
    <w:rPr>
      <w:b w:val="false"/>
    </w:rPr>
  </w:style>
  <w:style w:type="character" w:styleId="ListLabel1188">
    <w:name w:val="ListLabel 1188"/>
    <w:qFormat/>
    <w:rPr>
      <w:b w:val="false"/>
    </w:rPr>
  </w:style>
  <w:style w:type="character" w:styleId="ListLabel1189">
    <w:name w:val="ListLabel 1189"/>
    <w:qFormat/>
    <w:rPr>
      <w:b w:val="false"/>
    </w:rPr>
  </w:style>
  <w:style w:type="character" w:styleId="ListLabel1190">
    <w:name w:val="ListLabel 1190"/>
    <w:qFormat/>
    <w:rPr>
      <w:b w:val="false"/>
    </w:rPr>
  </w:style>
  <w:style w:type="character" w:styleId="ListLabel1191">
    <w:name w:val="ListLabel 1191"/>
    <w:qFormat/>
    <w:rPr>
      <w:b w:val="false"/>
    </w:rPr>
  </w:style>
  <w:style w:type="character" w:styleId="ListLabel1192">
    <w:name w:val="ListLabel 1192"/>
    <w:qFormat/>
    <w:rPr>
      <w:b w:val="false"/>
    </w:rPr>
  </w:style>
  <w:style w:type="character" w:styleId="ListLabel1193">
    <w:name w:val="ListLabel 1193"/>
    <w:qFormat/>
    <w:rPr>
      <w:b w:val="false"/>
    </w:rPr>
  </w:style>
  <w:style w:type="character" w:styleId="ListLabel1194">
    <w:name w:val="ListLabel 1194"/>
    <w:qFormat/>
    <w:rPr>
      <w:b w:val="false"/>
    </w:rPr>
  </w:style>
  <w:style w:type="character" w:styleId="ListLabel1195">
    <w:name w:val="ListLabel 1195"/>
    <w:qFormat/>
    <w:rPr>
      <w:rFonts w:cs="Times New Roman"/>
      <w:sz w:val="22"/>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rFonts w:cs="Symbol"/>
    </w:rPr>
  </w:style>
  <w:style w:type="character" w:styleId="ListLabel1199">
    <w:name w:val="ListLabel 1199"/>
    <w:qFormat/>
    <w:rPr>
      <w:rFonts w:cs="Courier New"/>
    </w:rPr>
  </w:style>
  <w:style w:type="character" w:styleId="ListLabel1200">
    <w:name w:val="ListLabel 1200"/>
    <w:qFormat/>
    <w:rPr>
      <w:rFonts w:cs="Wingdings"/>
    </w:rPr>
  </w:style>
  <w:style w:type="character" w:styleId="ListLabel1201">
    <w:name w:val="ListLabel 1201"/>
    <w:qFormat/>
    <w:rPr>
      <w:rFonts w:cs="Symbol"/>
    </w:rPr>
  </w:style>
  <w:style w:type="character" w:styleId="ListLabel1202">
    <w:name w:val="ListLabel 1202"/>
    <w:qFormat/>
    <w:rPr>
      <w:rFonts w:cs="Courier New"/>
    </w:rPr>
  </w:style>
  <w:style w:type="character" w:styleId="ListLabel1203">
    <w:name w:val="ListLabel 1203"/>
    <w:qFormat/>
    <w:rPr>
      <w:rFonts w:cs="Wingdings"/>
    </w:rPr>
  </w:style>
  <w:style w:type="character" w:styleId="ListLabel1204">
    <w:name w:val="ListLabel 1204"/>
    <w:qFormat/>
    <w:rPr>
      <w:b w:val="false"/>
    </w:rPr>
  </w:style>
  <w:style w:type="character" w:styleId="ListLabel1205">
    <w:name w:val="ListLabel 1205"/>
    <w:qFormat/>
    <w:rPr>
      <w:b w:val="false"/>
    </w:rPr>
  </w:style>
  <w:style w:type="character" w:styleId="ListLabel1206">
    <w:name w:val="ListLabel 1206"/>
    <w:qFormat/>
    <w:rPr>
      <w:rFonts w:ascii="Times New Roman" w:hAnsi="Times New Roman"/>
      <w:b/>
      <w:bCs w:val="false"/>
      <w:sz w:val="24"/>
    </w:rPr>
  </w:style>
  <w:style w:type="character" w:styleId="ListLabel1207">
    <w:name w:val="ListLabel 1207"/>
    <w:qFormat/>
    <w:rPr>
      <w:rFonts w:eastAsia="Times New Roman" w:cs=""/>
    </w:rPr>
  </w:style>
  <w:style w:type="character" w:styleId="ListLabel1208">
    <w:name w:val="ListLabel 1208"/>
    <w:qFormat/>
    <w:rPr>
      <w:rFonts w:ascii="Times New Roman" w:hAnsi="Times New Roman" w:eastAsia="Times New Roman" w:cs=""/>
      <w:b w:val="false"/>
      <w:bCs w:val="false"/>
      <w:sz w:val="24"/>
      <w:szCs w:val="24"/>
    </w:rPr>
  </w:style>
  <w:style w:type="character" w:styleId="ListLabel1209">
    <w:name w:val="ListLabel 1209"/>
    <w:qFormat/>
    <w:rPr>
      <w:rFonts w:eastAsia="Times New Roman" w:cs=""/>
    </w:rPr>
  </w:style>
  <w:style w:type="character" w:styleId="ListLabel1210">
    <w:name w:val="ListLabel 1210"/>
    <w:qFormat/>
    <w:rPr>
      <w:rFonts w:eastAsia="Times New Roman" w:cs=""/>
    </w:rPr>
  </w:style>
  <w:style w:type="character" w:styleId="ListLabel1211">
    <w:name w:val="ListLabel 1211"/>
    <w:qFormat/>
    <w:rPr>
      <w:rFonts w:eastAsia="Times New Roman" w:cs=""/>
    </w:rPr>
  </w:style>
  <w:style w:type="character" w:styleId="ListLabel1212">
    <w:name w:val="ListLabel 1212"/>
    <w:qFormat/>
    <w:rPr>
      <w:rFonts w:eastAsia="Times New Roman" w:cs=""/>
    </w:rPr>
  </w:style>
  <w:style w:type="character" w:styleId="ListLabel1213">
    <w:name w:val="ListLabel 1213"/>
    <w:qFormat/>
    <w:rPr>
      <w:rFonts w:eastAsia="Times New Roman" w:cs=""/>
    </w:rPr>
  </w:style>
  <w:style w:type="character" w:styleId="ListLabel1214">
    <w:name w:val="ListLabel 1214"/>
    <w:qFormat/>
    <w:rPr>
      <w:rFonts w:eastAsia="Times New Roman" w:cs=""/>
    </w:rPr>
  </w:style>
  <w:style w:type="character" w:styleId="ListLabel1215">
    <w:name w:val="ListLabel 1215"/>
    <w:qFormat/>
    <w:rPr>
      <w:rFonts w:eastAsia="Times New Roman" w:cs=""/>
    </w:rPr>
  </w:style>
  <w:style w:type="character" w:styleId="ListLabel1216">
    <w:name w:val="ListLabel 1216"/>
    <w:qFormat/>
    <w:rPr>
      <w:rFonts w:ascii="Times New Roman" w:hAnsi="Times New Roman"/>
      <w:color w:val="auto"/>
      <w:sz w:val="24"/>
    </w:rPr>
  </w:style>
  <w:style w:type="character" w:styleId="ListLabel1217">
    <w:name w:val="ListLabel 1217"/>
    <w:qFormat/>
    <w:rPr>
      <w:rFonts w:ascii="Times New Roman" w:hAnsi="Times New Roman"/>
      <w:b/>
      <w:sz w:val="24"/>
    </w:rPr>
  </w:style>
  <w:style w:type="character" w:styleId="ListLabel1218">
    <w:name w:val="ListLabel 1218"/>
    <w:qFormat/>
    <w:rPr>
      <w:rFonts w:ascii="Times New Roman" w:hAnsi="Times New Roman"/>
      <w:b/>
      <w:sz w:val="24"/>
    </w:rPr>
  </w:style>
  <w:style w:type="character" w:styleId="ListLabel1219">
    <w:name w:val="ListLabel 1219"/>
    <w:qFormat/>
    <w:rPr>
      <w:b w:val="false"/>
      <w:sz w:val="22"/>
    </w:rPr>
  </w:style>
  <w:style w:type="character" w:styleId="ListLabel1220">
    <w:name w:val="ListLabel 1220"/>
    <w:qFormat/>
    <w:rPr>
      <w:rFonts w:ascii="Times New Roman" w:hAnsi="Times New Roman" w:eastAsia="Calibri" w:cs="Times New Roman"/>
      <w:b w:val="false"/>
      <w:bCs w:val="false"/>
      <w:color w:val="000000"/>
      <w:sz w:val="24"/>
      <w:szCs w:val="24"/>
    </w:rPr>
  </w:style>
  <w:style w:type="character" w:styleId="ListLabel1221">
    <w:name w:val="ListLabel 1221"/>
    <w:qFormat/>
    <w:rPr>
      <w:rFonts w:ascii="Times New Roman" w:hAnsi="Times New Roman" w:eastAsia="Calibri" w:cs="Times New Roman"/>
      <w:bCs/>
      <w:color w:val="auto"/>
      <w:sz w:val="24"/>
      <w:szCs w:val="24"/>
      <w:u w:val="none"/>
    </w:rPr>
  </w:style>
  <w:style w:type="character" w:styleId="ListLabel1222">
    <w:name w:val="ListLabel 1222"/>
    <w:qFormat/>
    <w:rPr>
      <w:rFonts w:ascii="Times New Roman" w:hAnsi="Times New Roman" w:eastAsia="Calibri" w:cs="Times New Roman"/>
      <w:b w:val="false"/>
      <w:bCs/>
      <w:i w:val="false"/>
      <w:caps w:val="false"/>
      <w:smallCaps w:val="false"/>
      <w:strike w:val="false"/>
      <w:dstrike w:val="false"/>
      <w:color w:val="auto"/>
      <w:spacing w:val="0"/>
      <w:sz w:val="24"/>
      <w:szCs w:val="24"/>
      <w:highlight w:val="white"/>
      <w:u w:val="none"/>
      <w:effect w:val="none"/>
    </w:rPr>
  </w:style>
  <w:style w:type="character" w:styleId="ListLabel1223">
    <w:name w:val="ListLabel 1223"/>
    <w:qFormat/>
    <w:rPr>
      <w:sz w:val="24"/>
      <w:szCs w:val="24"/>
    </w:rPr>
  </w:style>
  <w:style w:type="character" w:styleId="ListLabel1224">
    <w:name w:val="ListLabel 1224"/>
    <w:qFormat/>
    <w:rPr>
      <w:b/>
      <w:sz w:val="22"/>
    </w:rPr>
  </w:style>
  <w:style w:type="character" w:styleId="ListLabel1225">
    <w:name w:val="ListLabel 1225"/>
    <w:qFormat/>
    <w:rPr>
      <w:b/>
      <w:color w:val="auto"/>
    </w:rPr>
  </w:style>
  <w:style w:type="character" w:styleId="ListLabel1226">
    <w:name w:val="ListLabel 1226"/>
    <w:qFormat/>
    <w:rPr>
      <w:rFonts w:ascii="Times New Roman" w:hAnsi="Times New Roman"/>
      <w:color w:val="auto"/>
    </w:rPr>
  </w:style>
  <w:style w:type="character" w:styleId="ListLabel1227">
    <w:name w:val="ListLabel 1227"/>
    <w:qFormat/>
    <w:rPr>
      <w:b w:val="false"/>
    </w:rPr>
  </w:style>
  <w:style w:type="character" w:styleId="ListLabel1228">
    <w:name w:val="ListLabel 1228"/>
    <w:qFormat/>
    <w:rPr>
      <w:b w:val="false"/>
    </w:rPr>
  </w:style>
  <w:style w:type="character" w:styleId="ListLabel1229">
    <w:name w:val="ListLabel 1229"/>
    <w:qFormat/>
    <w:rPr>
      <w:b w:val="false"/>
    </w:rPr>
  </w:style>
  <w:style w:type="character" w:styleId="ListLabel1230">
    <w:name w:val="ListLabel 1230"/>
    <w:qFormat/>
    <w:rPr>
      <w:b w:val="false"/>
    </w:rPr>
  </w:style>
  <w:style w:type="character" w:styleId="ListLabel1231">
    <w:name w:val="ListLabel 1231"/>
    <w:qFormat/>
    <w:rPr>
      <w:b w:val="false"/>
    </w:rPr>
  </w:style>
  <w:style w:type="character" w:styleId="ListLabel1232">
    <w:name w:val="ListLabel 1232"/>
    <w:qFormat/>
    <w:rPr>
      <w:b w:val="false"/>
    </w:rPr>
  </w:style>
  <w:style w:type="character" w:styleId="ListLabel1233">
    <w:name w:val="ListLabel 1233"/>
    <w:qFormat/>
    <w:rPr>
      <w:b w:val="false"/>
    </w:rPr>
  </w:style>
  <w:style w:type="character" w:styleId="ListLabel1234">
    <w:name w:val="ListLabel 1234"/>
    <w:qFormat/>
    <w:rPr>
      <w:b w:val="false"/>
    </w:rPr>
  </w:style>
  <w:style w:type="character" w:styleId="ListLabel1235">
    <w:name w:val="ListLabel 1235"/>
    <w:qFormat/>
    <w:rPr>
      <w:b w:val="false"/>
    </w:rPr>
  </w:style>
  <w:style w:type="character" w:styleId="ListLabel1236">
    <w:name w:val="ListLabel 1236"/>
    <w:qFormat/>
    <w:rPr>
      <w:b w:val="false"/>
    </w:rPr>
  </w:style>
  <w:style w:type="character" w:styleId="ListLabel1237">
    <w:name w:val="ListLabel 1237"/>
    <w:qFormat/>
    <w:rPr>
      <w:b w:val="false"/>
    </w:rPr>
  </w:style>
  <w:style w:type="character" w:styleId="ListLabel1238">
    <w:name w:val="ListLabel 1238"/>
    <w:qFormat/>
    <w:rPr>
      <w:b w:val="false"/>
    </w:rPr>
  </w:style>
  <w:style w:type="character" w:styleId="ListLabel1239">
    <w:name w:val="ListLabel 1239"/>
    <w:qFormat/>
    <w:rPr>
      <w:b w:val="false"/>
    </w:rPr>
  </w:style>
  <w:style w:type="character" w:styleId="ListLabel1240">
    <w:name w:val="ListLabel 1240"/>
    <w:qFormat/>
    <w:rPr>
      <w:b w:val="false"/>
    </w:rPr>
  </w:style>
  <w:style w:type="character" w:styleId="ListLabel1241">
    <w:name w:val="ListLabel 1241"/>
    <w:qFormat/>
    <w:rPr>
      <w:b w:val="false"/>
    </w:rPr>
  </w:style>
  <w:style w:type="character" w:styleId="ListLabel1242">
    <w:name w:val="ListLabel 1242"/>
    <w:qFormat/>
    <w:rPr>
      <w:b w:val="false"/>
    </w:rPr>
  </w:style>
  <w:style w:type="character" w:styleId="ListLabel1243">
    <w:name w:val="ListLabel 1243"/>
    <w:qFormat/>
    <w:rPr>
      <w:rFonts w:cs="Times New Roman"/>
      <w:sz w:val="22"/>
    </w:rPr>
  </w:style>
  <w:style w:type="character" w:styleId="ListLabel1244">
    <w:name w:val="ListLabel 1244"/>
    <w:qFormat/>
    <w:rPr>
      <w:rFonts w:cs="Courier New"/>
    </w:rPr>
  </w:style>
  <w:style w:type="character" w:styleId="ListLabel1245">
    <w:name w:val="ListLabel 1245"/>
    <w:qFormat/>
    <w:rPr>
      <w:rFonts w:cs="Wingdings"/>
    </w:rPr>
  </w:style>
  <w:style w:type="character" w:styleId="ListLabel1246">
    <w:name w:val="ListLabel 1246"/>
    <w:qFormat/>
    <w:rPr>
      <w:rFonts w:cs="Symbol"/>
    </w:rPr>
  </w:style>
  <w:style w:type="character" w:styleId="ListLabel1247">
    <w:name w:val="ListLabel 1247"/>
    <w:qFormat/>
    <w:rPr>
      <w:rFonts w:cs="Courier New"/>
    </w:rPr>
  </w:style>
  <w:style w:type="character" w:styleId="ListLabel1248">
    <w:name w:val="ListLabel 1248"/>
    <w:qFormat/>
    <w:rPr>
      <w:rFonts w:cs="Wingdings"/>
    </w:rPr>
  </w:style>
  <w:style w:type="character" w:styleId="ListLabel1249">
    <w:name w:val="ListLabel 1249"/>
    <w:qFormat/>
    <w:rPr>
      <w:rFonts w:cs="Symbol"/>
    </w:rPr>
  </w:style>
  <w:style w:type="character" w:styleId="ListLabel1250">
    <w:name w:val="ListLabel 1250"/>
    <w:qFormat/>
    <w:rPr>
      <w:rFonts w:cs="Courier New"/>
    </w:rPr>
  </w:style>
  <w:style w:type="character" w:styleId="ListLabel1251">
    <w:name w:val="ListLabel 1251"/>
    <w:qFormat/>
    <w:rPr>
      <w:rFonts w:cs="Wingdings"/>
    </w:rPr>
  </w:style>
  <w:style w:type="character" w:styleId="ListLabel1252">
    <w:name w:val="ListLabel 1252"/>
    <w:qFormat/>
    <w:rPr>
      <w:b w:val="false"/>
    </w:rPr>
  </w:style>
  <w:style w:type="character" w:styleId="ListLabel1253">
    <w:name w:val="ListLabel 1253"/>
    <w:qFormat/>
    <w:rPr>
      <w:b w:val="false"/>
    </w:rPr>
  </w:style>
  <w:style w:type="character" w:styleId="ListLabel1254">
    <w:name w:val="ListLabel 1254"/>
    <w:qFormat/>
    <w:rPr>
      <w:rFonts w:ascii="Times New Roman" w:hAnsi="Times New Roman"/>
      <w:b/>
      <w:bCs w:val="false"/>
      <w:sz w:val="24"/>
    </w:rPr>
  </w:style>
  <w:style w:type="character" w:styleId="ListLabel1255">
    <w:name w:val="ListLabel 1255"/>
    <w:qFormat/>
    <w:rPr>
      <w:rFonts w:eastAsia="Times New Roman" w:cs=""/>
    </w:rPr>
  </w:style>
  <w:style w:type="character" w:styleId="ListLabel1256">
    <w:name w:val="ListLabel 1256"/>
    <w:qFormat/>
    <w:rPr>
      <w:rFonts w:ascii="Times New Roman" w:hAnsi="Times New Roman" w:eastAsia="Times New Roman" w:cs=""/>
      <w:b w:val="false"/>
      <w:bCs w:val="false"/>
      <w:sz w:val="24"/>
      <w:szCs w:val="24"/>
    </w:rPr>
  </w:style>
  <w:style w:type="character" w:styleId="ListLabel1257">
    <w:name w:val="ListLabel 1257"/>
    <w:qFormat/>
    <w:rPr>
      <w:rFonts w:eastAsia="Times New Roman" w:cs=""/>
    </w:rPr>
  </w:style>
  <w:style w:type="character" w:styleId="ListLabel1258">
    <w:name w:val="ListLabel 1258"/>
    <w:qFormat/>
    <w:rPr>
      <w:rFonts w:eastAsia="Times New Roman" w:cs=""/>
    </w:rPr>
  </w:style>
  <w:style w:type="character" w:styleId="ListLabel1259">
    <w:name w:val="ListLabel 1259"/>
    <w:qFormat/>
    <w:rPr>
      <w:rFonts w:eastAsia="Times New Roman" w:cs=""/>
    </w:rPr>
  </w:style>
  <w:style w:type="character" w:styleId="ListLabel1260">
    <w:name w:val="ListLabel 1260"/>
    <w:qFormat/>
    <w:rPr>
      <w:rFonts w:eastAsia="Times New Roman" w:cs=""/>
    </w:rPr>
  </w:style>
  <w:style w:type="character" w:styleId="ListLabel1261">
    <w:name w:val="ListLabel 1261"/>
    <w:qFormat/>
    <w:rPr>
      <w:rFonts w:eastAsia="Times New Roman" w:cs=""/>
    </w:rPr>
  </w:style>
  <w:style w:type="character" w:styleId="ListLabel1262">
    <w:name w:val="ListLabel 1262"/>
    <w:qFormat/>
    <w:rPr>
      <w:rFonts w:eastAsia="Times New Roman" w:cs=""/>
    </w:rPr>
  </w:style>
  <w:style w:type="character" w:styleId="ListLabel1263">
    <w:name w:val="ListLabel 1263"/>
    <w:qFormat/>
    <w:rPr>
      <w:rFonts w:eastAsia="Times New Roman" w:cs=""/>
    </w:rPr>
  </w:style>
  <w:style w:type="character" w:styleId="ListLabel1264">
    <w:name w:val="ListLabel 1264"/>
    <w:qFormat/>
    <w:rPr>
      <w:rFonts w:ascii="Times New Roman" w:hAnsi="Times New Roman"/>
      <w:color w:val="auto"/>
      <w:sz w:val="24"/>
    </w:rPr>
  </w:style>
  <w:style w:type="character" w:styleId="ListLabel1265">
    <w:name w:val="ListLabel 1265"/>
    <w:qFormat/>
    <w:rPr>
      <w:rFonts w:ascii="Times New Roman" w:hAnsi="Times New Roman"/>
      <w:b/>
      <w:sz w:val="24"/>
    </w:rPr>
  </w:style>
  <w:style w:type="character" w:styleId="ListLabel1266">
    <w:name w:val="ListLabel 1266"/>
    <w:qFormat/>
    <w:rPr>
      <w:rFonts w:ascii="Times New Roman" w:hAnsi="Times New Roman"/>
      <w:b/>
      <w:sz w:val="24"/>
    </w:rPr>
  </w:style>
  <w:style w:type="character" w:styleId="ListLabel1267">
    <w:name w:val="ListLabel 1267"/>
    <w:qFormat/>
    <w:rPr>
      <w:b w:val="false"/>
      <w:sz w:val="22"/>
    </w:rPr>
  </w:style>
  <w:style w:type="character" w:styleId="ListLabel1268">
    <w:name w:val="ListLabel 1268"/>
    <w:qFormat/>
    <w:rPr>
      <w:rFonts w:ascii="Times New Roman" w:hAnsi="Times New Roman" w:eastAsia="Calibri" w:cs="Times New Roman"/>
      <w:b w:val="false"/>
      <w:bCs w:val="false"/>
      <w:color w:val="000000"/>
      <w:sz w:val="24"/>
      <w:szCs w:val="24"/>
    </w:rPr>
  </w:style>
  <w:style w:type="character" w:styleId="ListLabel1269">
    <w:name w:val="ListLabel 1269"/>
    <w:qFormat/>
    <w:rPr>
      <w:rFonts w:ascii="Times New Roman" w:hAnsi="Times New Roman" w:eastAsia="Calibri" w:cs="Times New Roman"/>
      <w:bCs/>
      <w:color w:val="auto"/>
      <w:sz w:val="24"/>
      <w:szCs w:val="24"/>
      <w:u w:val="none"/>
    </w:rPr>
  </w:style>
  <w:style w:type="character" w:styleId="ListLabel1270">
    <w:name w:val="ListLabel 1270"/>
    <w:qFormat/>
    <w:rPr>
      <w:rFonts w:ascii="Times New Roman" w:hAnsi="Times New Roman" w:eastAsia="Calibri" w:cs="Times New Roman"/>
      <w:b w:val="false"/>
      <w:bCs/>
      <w:i w:val="false"/>
      <w:caps w:val="false"/>
      <w:smallCaps w:val="false"/>
      <w:strike w:val="false"/>
      <w:dstrike w:val="false"/>
      <w:color w:val="auto"/>
      <w:spacing w:val="0"/>
      <w:sz w:val="24"/>
      <w:szCs w:val="24"/>
      <w:highlight w:val="white"/>
      <w:u w:val="none"/>
      <w:effect w:val="none"/>
    </w:rPr>
  </w:style>
  <w:style w:type="character" w:styleId="ListLabel1271">
    <w:name w:val="ListLabel 1271"/>
    <w:qFormat/>
    <w:rPr>
      <w:sz w:val="24"/>
      <w:szCs w:val="24"/>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link w:val="BodyTextChar"/>
    <w:rsid w:val="00852988"/>
    <w:pPr>
      <w:suppressAutoHyphens w:val="true"/>
      <w:spacing w:lineRule="auto" w:line="240" w:before="0" w:after="0"/>
      <w:jc w:val="center"/>
    </w:pPr>
    <w:rPr>
      <w:rFonts w:ascii="Times New Roman" w:hAnsi="Times New Roman" w:eastAsia="Times New Roman" w:cs="Times New Roman"/>
      <w:sz w:val="20"/>
      <w:szCs w:val="20"/>
      <w:lang w:eastAsia="ar-SA"/>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NoSpacing">
    <w:name w:val="No Spacing"/>
    <w:qFormat/>
    <w:rsid w:val="0085298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lv-LV" w:eastAsia="ar-SA" w:bidi="ar-SA"/>
    </w:rPr>
  </w:style>
  <w:style w:type="paragraph" w:styleId="Nosaukums">
    <w:name w:val="Title"/>
    <w:basedOn w:val="Normal"/>
    <w:next w:val="Dokumentaapakvirsraksts"/>
    <w:link w:val="TitleChar"/>
    <w:qFormat/>
    <w:rsid w:val="00852988"/>
    <w:pPr>
      <w:suppressAutoHyphens w:val="true"/>
      <w:spacing w:lineRule="auto" w:line="240" w:before="0" w:after="0"/>
      <w:jc w:val="center"/>
    </w:pPr>
    <w:rPr>
      <w:rFonts w:ascii="Times New Roman" w:hAnsi="Times New Roman" w:eastAsia="Times New Roman" w:cs="Times New Roman"/>
      <w:b/>
      <w:sz w:val="32"/>
      <w:szCs w:val="20"/>
      <w:u w:val="single"/>
      <w:lang w:eastAsia="ar-SA"/>
    </w:rPr>
  </w:style>
  <w:style w:type="paragraph" w:styleId="Dokumentaapakvirsraksts">
    <w:name w:val="Subtitle"/>
    <w:basedOn w:val="Normal"/>
    <w:next w:val="Normal"/>
    <w:link w:val="SubtitleChar"/>
    <w:qFormat/>
    <w:rsid w:val="00852988"/>
    <w:pPr/>
    <w:rPr>
      <w:rFonts w:eastAsia="" w:eastAsiaTheme="minorEastAsia"/>
      <w:color w:val="5A5A5A" w:themeColor="text1" w:themeTint="a5"/>
      <w:spacing w:val="15"/>
    </w:rPr>
  </w:style>
  <w:style w:type="paragraph" w:styleId="Vre">
    <w:name w:val="Footnote Text"/>
    <w:basedOn w:val="Normal"/>
    <w:link w:val="FootnoteTextChar"/>
    <w:uiPriority w:val="99"/>
    <w:unhideWhenUsed/>
    <w:rsid w:val="00852988"/>
    <w:pPr>
      <w:suppressAutoHyphens w:val="true"/>
      <w:spacing w:lineRule="auto" w:line="240" w:before="0" w:after="0"/>
    </w:pPr>
    <w:rPr>
      <w:rFonts w:ascii="Times New Roman" w:hAnsi="Times New Roman" w:eastAsia="Times New Roman" w:cs="Times New Roman"/>
      <w:sz w:val="20"/>
      <w:szCs w:val="20"/>
      <w:lang w:eastAsia="ar-SA"/>
    </w:rPr>
  </w:style>
  <w:style w:type="paragraph" w:styleId="ListParagraph">
    <w:name w:val="List Paragraph"/>
    <w:basedOn w:val="Normal"/>
    <w:link w:val="ListParagraphChar"/>
    <w:qFormat/>
    <w:rsid w:val="00852988"/>
    <w:pPr>
      <w:spacing w:before="0" w:after="160"/>
      <w:ind w:left="720" w:hanging="0"/>
      <w:contextualSpacing/>
    </w:pPr>
    <w:rPr/>
  </w:style>
  <w:style w:type="paragraph" w:styleId="Virsraksts51" w:customStyle="1">
    <w:name w:val="Virsraksts 51"/>
    <w:basedOn w:val="Normal"/>
    <w:next w:val="Normal"/>
    <w:qFormat/>
    <w:rsid w:val="00a35323"/>
    <w:pPr>
      <w:keepNext w:val="true"/>
      <w:suppressAutoHyphens w:val="true"/>
      <w:spacing w:lineRule="auto" w:line="240" w:before="0" w:after="0"/>
      <w:jc w:val="center"/>
      <w:outlineLvl w:val="4"/>
    </w:pPr>
    <w:rPr>
      <w:rFonts w:ascii="Times New Roman" w:hAnsi="Times New Roman" w:eastAsia="Times New Roman" w:cs="Times New Roman"/>
      <w:b/>
      <w:bCs/>
      <w:i/>
      <w:iCs/>
      <w:lang w:eastAsia="ar-SA"/>
    </w:rPr>
  </w:style>
  <w:style w:type="paragraph" w:styleId="Galvene">
    <w:name w:val="Header"/>
    <w:basedOn w:val="Normal"/>
    <w:link w:val="HeaderChar"/>
    <w:uiPriority w:val="99"/>
    <w:rsid w:val="0030294f"/>
    <w:pPr>
      <w:tabs>
        <w:tab w:val="clear" w:pos="720"/>
        <w:tab w:val="center" w:pos="4153" w:leader="none"/>
        <w:tab w:val="right" w:pos="8306" w:leader="none"/>
      </w:tabs>
      <w:suppressAutoHyphens w:val="true"/>
      <w:spacing w:lineRule="auto" w:line="240" w:before="0" w:after="0"/>
    </w:pPr>
    <w:rPr>
      <w:rFonts w:ascii="Times New Roman" w:hAnsi="Times New Roman" w:eastAsia="Times New Roman" w:cs="Times New Roman"/>
      <w:sz w:val="24"/>
      <w:szCs w:val="20"/>
      <w:lang w:eastAsia="ar-SA"/>
    </w:rPr>
  </w:style>
  <w:style w:type="paragraph" w:styleId="Kjene">
    <w:name w:val="Footer"/>
    <w:basedOn w:val="Normal"/>
    <w:link w:val="FooterChar"/>
    <w:uiPriority w:val="99"/>
    <w:unhideWhenUsed/>
    <w:rsid w:val="00025f9e"/>
    <w:pPr>
      <w:tabs>
        <w:tab w:val="clear" w:pos="720"/>
        <w:tab w:val="center" w:pos="4153" w:leader="none"/>
        <w:tab w:val="right" w:pos="8306" w:leader="none"/>
      </w:tabs>
      <w:spacing w:lineRule="auto" w:line="240" w:before="0" w:after="0"/>
    </w:pPr>
    <w:rPr/>
  </w:style>
  <w:style w:type="paragraph" w:styleId="BalloonText">
    <w:name w:val="Balloon Text"/>
    <w:basedOn w:val="Normal"/>
    <w:link w:val="BalloonTextChar"/>
    <w:uiPriority w:val="99"/>
    <w:semiHidden/>
    <w:unhideWhenUsed/>
    <w:qFormat/>
    <w:rsid w:val="002e11c8"/>
    <w:pPr>
      <w:spacing w:lineRule="auto" w:line="240" w:before="0" w:after="0"/>
    </w:pPr>
    <w:rPr>
      <w:rFonts w:ascii="Segoe UI" w:hAnsi="Segoe UI" w:cs="Segoe UI"/>
      <w:sz w:val="18"/>
      <w:szCs w:val="18"/>
    </w:rPr>
  </w:style>
  <w:style w:type="paragraph" w:styleId="BodyTextIndent2">
    <w:name w:val="Body Text Indent 2"/>
    <w:basedOn w:val="Normal"/>
    <w:link w:val="BodyTextIndent2Char"/>
    <w:uiPriority w:val="99"/>
    <w:semiHidden/>
    <w:unhideWhenUsed/>
    <w:qFormat/>
    <w:rsid w:val="001070bb"/>
    <w:pPr>
      <w:spacing w:lineRule="auto" w:line="480" w:before="0" w:after="120"/>
      <w:ind w:left="283" w:hanging="0"/>
    </w:pPr>
    <w:rPr/>
  </w:style>
  <w:style w:type="paragraph" w:styleId="Annotationtext">
    <w:name w:val="annotation text"/>
    <w:basedOn w:val="Normal"/>
    <w:link w:val="CommentTextChar"/>
    <w:uiPriority w:val="99"/>
    <w:semiHidden/>
    <w:unhideWhenUsed/>
    <w:qFormat/>
    <w:rsid w:val="00e202c6"/>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202c6"/>
    <w:pPr/>
    <w:rPr>
      <w:b/>
      <w:bCs/>
    </w:rPr>
  </w:style>
  <w:style w:type="paragraph" w:styleId="BodyTextIndent3">
    <w:name w:val="Body Text Indent 3"/>
    <w:basedOn w:val="Normal"/>
    <w:link w:val="BodyTextIndent3Char"/>
    <w:uiPriority w:val="99"/>
    <w:semiHidden/>
    <w:unhideWhenUsed/>
    <w:qFormat/>
    <w:rsid w:val="007742c9"/>
    <w:pPr>
      <w:suppressAutoHyphens w:val="true"/>
      <w:spacing w:lineRule="auto" w:line="240" w:before="0" w:after="120"/>
      <w:ind w:left="283" w:hanging="0"/>
    </w:pPr>
    <w:rPr>
      <w:rFonts w:ascii="Times New Roman" w:hAnsi="Times New Roman" w:eastAsia="Times New Roman" w:cs="Times New Roman"/>
      <w:sz w:val="16"/>
      <w:szCs w:val="16"/>
      <w:lang w:eastAsia="ar-SA"/>
    </w:rPr>
  </w:style>
  <w:style w:type="paragraph" w:styleId="BodyTextIndent21" w:customStyle="1">
    <w:name w:val="Body Text Indent 21"/>
    <w:basedOn w:val="Normal"/>
    <w:qFormat/>
    <w:rsid w:val="006a19dc"/>
    <w:pPr>
      <w:suppressAutoHyphens w:val="true"/>
      <w:spacing w:lineRule="auto" w:line="240" w:before="0" w:after="0"/>
      <w:ind w:left="851" w:hanging="851"/>
      <w:jc w:val="both"/>
    </w:pPr>
    <w:rPr>
      <w:rFonts w:ascii="Times New Roman" w:hAnsi="Times New Roman" w:eastAsia="Times New Roman" w:cs="Times New Roman"/>
      <w:sz w:val="24"/>
      <w:szCs w:val="20"/>
      <w:lang w:eastAsia="ar-SA"/>
    </w:rPr>
  </w:style>
  <w:style w:type="paragraph" w:styleId="Pamattekstaatkpe">
    <w:name w:val="Body Text Indent"/>
    <w:basedOn w:val="Normal"/>
    <w:link w:val="BodyTextIndentChar"/>
    <w:rsid w:val="006a19dc"/>
    <w:pPr>
      <w:suppressAutoHyphens w:val="true"/>
      <w:spacing w:lineRule="auto" w:line="240" w:before="0" w:after="120"/>
      <w:ind w:left="283" w:hanging="0"/>
    </w:pPr>
    <w:rPr>
      <w:rFonts w:ascii="Times New Roman" w:hAnsi="Times New Roman" w:eastAsia="Times New Roman" w:cs="Times New Roman"/>
      <w:sz w:val="24"/>
      <w:szCs w:val="24"/>
      <w:lang w:eastAsia="ar-SA"/>
    </w:rPr>
  </w:style>
  <w:style w:type="paragraph" w:styleId="ListParagraph1" w:customStyle="1">
    <w:name w:val="List Paragraph1"/>
    <w:basedOn w:val="Normal"/>
    <w:qFormat/>
    <w:rsid w:val="00841329"/>
    <w:pPr>
      <w:spacing w:lineRule="auto" w:line="240" w:before="0" w:after="0"/>
      <w:ind w:left="720" w:hanging="0"/>
    </w:pPr>
    <w:rPr>
      <w:rFonts w:ascii="Times New Roman" w:hAnsi="Times New Roman" w:eastAsia="Times New Roman" w:cs="Times New Roman"/>
      <w:sz w:val="24"/>
      <w:szCs w:val="24"/>
      <w:lang w:eastAsia="ar-SA"/>
    </w:rPr>
  </w:style>
  <w:style w:type="paragraph" w:styleId="Tv213" w:customStyle="1">
    <w:name w:val="tv213"/>
    <w:basedOn w:val="Normal"/>
    <w:qFormat/>
    <w:rsid w:val="00536822"/>
    <w:pPr>
      <w:spacing w:lineRule="auto" w:line="240" w:beforeAutospacing="1" w:afterAutospacing="1"/>
    </w:pPr>
    <w:rPr>
      <w:rFonts w:ascii="Times New Roman" w:hAnsi="Times New Roman" w:eastAsia="Times New Roman" w:cs="Times New Roman"/>
      <w:sz w:val="24"/>
      <w:szCs w:val="24"/>
      <w:lang w:eastAsia="lv-LV"/>
    </w:rPr>
  </w:style>
  <w:style w:type="paragraph" w:styleId="Paragrfs" w:customStyle="1">
    <w:name w:val="Paragrāfs"/>
    <w:basedOn w:val="Normal"/>
    <w:next w:val="Normal"/>
    <w:qFormat/>
    <w:rsid w:val="00c35972"/>
    <w:pPr>
      <w:suppressAutoHyphens w:val="true"/>
      <w:spacing w:lineRule="auto" w:line="240" w:before="0" w:after="0"/>
      <w:jc w:val="both"/>
    </w:pPr>
    <w:rPr>
      <w:rFonts w:ascii="Arial" w:hAnsi="Arial" w:eastAsia="Times New Roman" w:cs="Times New Roman"/>
      <w:sz w:val="20"/>
      <w:szCs w:val="24"/>
      <w:lang w:eastAsia="ar-SA"/>
    </w:rPr>
  </w:style>
  <w:style w:type="paragraph" w:styleId="Numeracija" w:customStyle="1">
    <w:name w:val="Numeracija"/>
    <w:basedOn w:val="Normal"/>
    <w:qFormat/>
    <w:rsid w:val="001134c9"/>
    <w:pPr>
      <w:spacing w:lineRule="auto" w:line="240" w:before="0" w:after="0"/>
      <w:jc w:val="both"/>
    </w:pPr>
    <w:rPr>
      <w:rFonts w:ascii="Times New Roman" w:hAnsi="Times New Roman" w:eastAsia="Times New Roman" w:cs="Times New Roman"/>
      <w:sz w:val="26"/>
      <w:szCs w:val="24"/>
      <w:lang w:val="en-US"/>
    </w:rPr>
  </w:style>
  <w:style w:type="paragraph" w:styleId="Sarakstarindkopa1" w:customStyle="1">
    <w:name w:val="Saraksta rindkopa1"/>
    <w:basedOn w:val="Normal"/>
    <w:uiPriority w:val="34"/>
    <w:qFormat/>
    <w:rsid w:val="001134c9"/>
    <w:pPr>
      <w:spacing w:lineRule="auto" w:line="240" w:before="0" w:after="0"/>
      <w:ind w:left="720" w:firstLine="425"/>
      <w:contextualSpacing/>
    </w:pPr>
    <w:rPr>
      <w:rFonts w:ascii="Calibri" w:hAnsi="Calibri" w:eastAsia="Calibri" w:cs="Times New Roman"/>
    </w:rPr>
  </w:style>
  <w:style w:type="paragraph" w:styleId="NormalWeb">
    <w:name w:val="Normal (Web)"/>
    <w:basedOn w:val="Normal"/>
    <w:uiPriority w:val="99"/>
    <w:unhideWhenUsed/>
    <w:qFormat/>
    <w:rsid w:val="0065264c"/>
    <w:pPr>
      <w:spacing w:lineRule="auto" w:line="240" w:beforeAutospacing="1" w:afterAutospacing="1"/>
    </w:pPr>
    <w:rPr>
      <w:rFonts w:ascii="Times New Roman" w:hAnsi="Times New Roman" w:eastAsia="Times New Roman" w:cs="Times New Roman"/>
      <w:sz w:val="24"/>
      <w:szCs w:val="24"/>
      <w:lang w:eastAsia="lv-LV"/>
    </w:rPr>
  </w:style>
  <w:style w:type="paragraph" w:styleId="Default" w:customStyle="1">
    <w:name w:val="Default"/>
    <w:qFormat/>
    <w:rsid w:val="0047261d"/>
    <w:pPr>
      <w:widowControl/>
      <w:bidi w:val="0"/>
      <w:spacing w:lineRule="auto" w:line="240" w:before="0" w:after="0"/>
      <w:jc w:val="left"/>
    </w:pPr>
    <w:rPr>
      <w:rFonts w:ascii="Calibri" w:hAnsi="Calibri" w:eastAsia="Calibri" w:cs="Calibri"/>
      <w:color w:val="000000"/>
      <w:kern w:val="0"/>
      <w:sz w:val="24"/>
      <w:szCs w:val="24"/>
      <w:lang w:val="lv-LV" w:eastAsia="en-US" w:bidi="ar-SA"/>
    </w:rPr>
  </w:style>
  <w:style w:type="paragraph" w:styleId="BodyText3">
    <w:name w:val="Body Text 3"/>
    <w:basedOn w:val="Normal"/>
    <w:link w:val="BodyText3Char"/>
    <w:qFormat/>
    <w:rsid w:val="000a4e75"/>
    <w:pPr>
      <w:spacing w:lineRule="auto" w:line="240" w:before="0" w:after="120"/>
    </w:pPr>
    <w:rPr>
      <w:rFonts w:ascii="Times New Roman" w:hAnsi="Times New Roman" w:eastAsia="Times New Roman" w:cs="Times New Roman"/>
      <w:sz w:val="16"/>
      <w:szCs w:val="16"/>
      <w:lang w:eastAsia="lv-LV"/>
    </w:rPr>
  </w:style>
  <w:style w:type="paragraph" w:styleId="NoSpacing1" w:customStyle="1">
    <w:name w:val="No Spacing1"/>
    <w:qFormat/>
    <w:rsid w:val="00ed0085"/>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lv-LV" w:eastAsia="ar-SA" w:bidi="ar-SA"/>
    </w:rPr>
  </w:style>
  <w:style w:type="paragraph" w:styleId="11" w:customStyle="1">
    <w:name w:val="Заголовок №1"/>
    <w:basedOn w:val="Normal"/>
    <w:link w:val="1"/>
    <w:qFormat/>
    <w:rsid w:val="00130bf5"/>
    <w:pPr>
      <w:widowControl w:val="false"/>
      <w:shd w:val="clear" w:color="auto" w:fill="FFFFFF"/>
      <w:spacing w:lineRule="exact" w:line="274" w:before="300" w:after="0"/>
      <w:jc w:val="center"/>
      <w:outlineLvl w:val="0"/>
    </w:pPr>
    <w:rPr>
      <w:rFonts w:ascii="Times New Roman" w:hAnsi="Times New Roman" w:eastAsia="Times New Roman" w:cs="Times New Roman"/>
      <w:b/>
      <w:bCs/>
    </w:rPr>
  </w:style>
  <w:style w:type="paragraph" w:styleId="Ietvarasaturs">
    <w:name w:val="Ietvara saturs"/>
    <w:basedOn w:val="Normal"/>
    <w:qFormat/>
    <w:pPr/>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numbering" w:styleId="NoList" w:default="1">
    <w:name w:val="No List"/>
    <w:uiPriority w:val="99"/>
    <w:semiHidden/>
    <w:unhideWhenUsed/>
    <w:qFormat/>
  </w:style>
  <w:style w:type="numbering" w:styleId="OutlineList2">
    <w:name w:val="Outline List 2"/>
    <w:uiPriority w:val="99"/>
    <w:semiHidden/>
    <w:unhideWhenUsed/>
    <w:qFormat/>
    <w:rsid w:val="000a0a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529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gaia1">
    <w:name w:val="Režģa tabula gaiša1"/>
    <w:basedOn w:val="TableNormal"/>
    <w:uiPriority w:val="40"/>
    <w:rsid w:val="00852988"/>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me@rucava.lv" TargetMode="External"/><Relationship Id="rId3" Type="http://schemas.openxmlformats.org/officeDocument/2006/relationships/hyperlink" Target="mailto:edgars.rieznieks@rucava.lv" TargetMode="External"/><Relationship Id="rId4" Type="http://schemas.openxmlformats.org/officeDocument/2006/relationships/hyperlink" Target="https://www.eis.gov.lv/EKEIS/Supplier/Organizer/1392" TargetMode="External"/><Relationship Id="rId5" Type="http://schemas.openxmlformats.org/officeDocument/2006/relationships/hyperlink" Target="https://www.eis.gov.lv/EKEIS/Supplier/Organizer/1392" TargetMode="External"/><Relationship Id="rId6" Type="http://schemas.openxmlformats.org/officeDocument/2006/relationships/hyperlink" Target="https://www.eis.gov.lv/" TargetMode="External"/><Relationship Id="rId7" Type="http://schemas.openxmlformats.org/officeDocument/2006/relationships/hyperlink" Target="https://www6.vid.gov.lv/VID_PDB/AP/List"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likumi.lv/doc.php?id=10127" TargetMode="External"/><Relationship Id="rId2" Type="http://schemas.openxmlformats.org/officeDocument/2006/relationships/hyperlink" Target="http://likumi.lv/doc.php?id=219491" TargetMode="External"/><Relationship Id="rId3" Type="http://schemas.openxmlformats.org/officeDocument/2006/relationships/hyperlink" Target="https://ec.europa.eu/growth/tools-databases/espd/filter?lang=lv" TargetMode="Externa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7299-5618-4703-A383-271EE401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Application>LibreOffice/6.1.4.2$Windows_X86_64 LibreOffice_project/9d0f32d1f0b509096fd65e0d4bec26ddd1938fd3</Application>
  <Pages>18</Pages>
  <Words>4482</Words>
  <Characters>32922</Characters>
  <CharactersWithSpaces>37197</CharactersWithSpaces>
  <Paragraphs>386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2018-05-30T11:29:00Z</dcterms:created>
  <dc:creator>Eva Ciekurze</dc:creator>
  <dc:description/>
  <dc:language>lv-LV</dc:language>
  <cp:lastModifiedBy/>
  <cp:lastPrinted>2019-06-19T13:35:58Z</cp:lastPrinted>
  <dcterms:modified xsi:type="dcterms:W3CDTF">2019-06-19T16:38:07Z</dcterms:modified>
  <cp:revision>301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