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highlight w:val="yellow"/>
          <w:lang w:val="lv-LV"/>
        </w:rPr>
      </w:pPr>
      <w:bookmarkStart w:id="0" w:name="__DdeLink__198_1730131039"/>
      <w:r>
        <w:rPr>
          <w:b/>
          <w:sz w:val="24"/>
          <w:szCs w:val="24"/>
          <w:lang w:val="lv-LV"/>
        </w:rPr>
        <w:t>Ziņojums par lēmuma pieņemšanu</w:t>
      </w:r>
      <w:bookmarkEnd w:id="0"/>
      <w:r>
        <w:rPr>
          <w:b/>
          <w:sz w:val="24"/>
          <w:szCs w:val="24"/>
          <w:lang w:val="lv-LV"/>
        </w:rPr>
        <w:t xml:space="preserve"> iepirkumā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 w:ascii="Times New Roman" w:hAnsi="Times New Roman"/>
          <w:b/>
          <w:bCs/>
          <w:color w:val="000000"/>
          <w:sz w:val="24"/>
          <w:szCs w:val="24"/>
          <w:lang w:bidi="lv-LV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spacing w:val="1"/>
          <w:sz w:val="24"/>
          <w:szCs w:val="24"/>
          <w:u w:val="none"/>
          <w:em w:val="none"/>
          <w:lang w:val="lv-LV" w:eastAsia="lv-LV"/>
        </w:rPr>
        <w:t>Ēkas fasādes apliecinājuma kartes izstrāde ēkai „Sudrabi”, Rucavā, Rucavas pagastā, Rucavas novadā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927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86"/>
        <w:gridCol w:w="294"/>
        <w:gridCol w:w="5646"/>
      </w:tblGrid>
      <w:tr>
        <w:trPr>
          <w:trHeight w:val="939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Pasūtītājs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Rucavas novada dome,</w:t>
            </w:r>
          </w:p>
          <w:p>
            <w:pPr>
              <w:pStyle w:val="Parastai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Reģistrācijas numurs 90000059230, adrese ’’Pagastmāja’’, </w:t>
            </w:r>
          </w:p>
          <w:p>
            <w:pPr>
              <w:pStyle w:val="Parastai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Rucava, Rucavas pagasts, Rucavas novads, LV-3477 </w:t>
            </w:r>
          </w:p>
        </w:tc>
      </w:tr>
      <w:tr>
        <w:trPr>
          <w:trHeight w:val="563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Iepirkuma identifikācijas numurs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ind w:left="34" w:right="1132" w:hanging="0"/>
              <w:rPr/>
            </w:pPr>
            <w:r>
              <w:rPr>
                <w:b/>
                <w:sz w:val="24"/>
                <w:szCs w:val="24"/>
              </w:rPr>
              <w:t>RND 2019/4</w:t>
            </w:r>
          </w:p>
        </w:tc>
      </w:tr>
      <w:tr>
        <w:trPr>
          <w:trHeight w:val="563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before="40" w:after="4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Iepirkuma procedūras veids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spacing w:before="40" w:after="40"/>
              <w:jc w:val="both"/>
              <w:rPr>
                <w:bCs/>
                <w:lang w:eastAsia="ar-SA"/>
              </w:rPr>
            </w:pPr>
            <w:r>
              <w:rPr>
                <w:sz w:val="24"/>
                <w:szCs w:val="24"/>
              </w:rPr>
              <w:t>Publisko iepirkumu likuma 9.panta kārtībā</w:t>
            </w:r>
          </w:p>
        </w:tc>
      </w:tr>
      <w:tr>
        <w:trPr>
          <w:trHeight w:val="534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Līguma priekšmets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8" w:leader="none"/>
                <w:tab w:val="left" w:pos="613" w:leader="none"/>
              </w:tabs>
              <w:spacing w:lineRule="auto" w:line="276" w:before="0" w:after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pacing w:val="1"/>
                <w:sz w:val="24"/>
                <w:szCs w:val="24"/>
              </w:rPr>
              <w:t xml:space="preserve">Ēkas fasādes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1"/>
                <w:sz w:val="24"/>
                <w:szCs w:val="24"/>
                <w:lang w:eastAsia="lv-LV"/>
              </w:rPr>
              <w:t>apliecinājuma kartes izstrāde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1"/>
                <w:sz w:val="24"/>
                <w:szCs w:val="24"/>
                <w:u w:val="none"/>
                <w:em w:val="none"/>
                <w:lang w:eastAsia="lv-LV"/>
              </w:rPr>
              <w:t>ēkai „Sudrabi”, Rucavā, Rucavas pagastā, Rucavas novadā</w:t>
            </w:r>
          </w:p>
        </w:tc>
      </w:tr>
      <w:tr>
        <w:trPr/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before="40" w:after="40"/>
              <w:ind w:left="33" w:hanging="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Līguma izpildes termiņš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hd w:val="clear" w:color="auto" w:fill="FFFFFF"/>
              <w:tabs>
                <w:tab w:val="clear" w:pos="720"/>
                <w:tab w:val="left" w:pos="0" w:leader="none"/>
                <w:tab w:val="left" w:pos="601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/>
                <w:color w:val="auto"/>
                <w:sz w:val="24"/>
                <w:szCs w:val="24"/>
              </w:rPr>
              <w:t>Darba izpildes termiņš ne ilgāks par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 3</w:t>
            </w:r>
            <w:r>
              <w:rPr>
                <w:rFonts w:eastAsia="Calibri" w:cs="Times New Roman"/>
                <w:bCs/>
                <w:color w:val="auto"/>
                <w:sz w:val="24"/>
                <w:szCs w:val="24"/>
              </w:rPr>
              <w:t>0 (trīsdesmit)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kalendārajām dienām no līguma parakstīšanas brīža.</w:t>
            </w:r>
          </w:p>
        </w:tc>
      </w:tr>
      <w:tr>
        <w:trPr>
          <w:trHeight w:val="441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before="40" w:after="4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CPV kodi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  <w:t xml:space="preserve">CPV kods – </w:t>
            </w:r>
            <w:hyperlink r:id="rId2">
              <w:r>
                <w:rPr>
                  <w:rStyle w:val="Internetasaite"/>
                  <w:rFonts w:eastAsia="Helvetica;Arial"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eastAsia="ar-SA"/>
                </w:rPr>
                <w:t>71000000-8</w:t>
              </w:r>
            </w:hyperlink>
            <w:r>
              <w:rPr>
                <w:rFonts w:eastAsia="Helvetica;Arial" w:cs="Times New Roman" w:ascii="Times New Roman" w:hAnsi="Times New Roman"/>
                <w:bCs/>
                <w:color w:val="auto"/>
                <w:sz w:val="24"/>
                <w:szCs w:val="24"/>
                <w:lang w:eastAsia="ar-SA"/>
              </w:rPr>
              <w:t xml:space="preserve"> (Arhitektūras, būvniecības, inženiertehniskie un pārbaudes pakalpojumi)</w:t>
            </w:r>
          </w:p>
        </w:tc>
      </w:tr>
      <w:tr>
        <w:trPr>
          <w:trHeight w:val="728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spacing w:before="40" w:after="4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Paziņojums par plānoto līgumu  publicēts www.iub.gov.lv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spacing w:before="40" w:after="40"/>
              <w:jc w:val="both"/>
              <w:rPr/>
            </w:pPr>
            <w:r>
              <w:rPr>
                <w:sz w:val="24"/>
                <w:szCs w:val="24"/>
              </w:rPr>
              <w:t>16.04.2019.</w:t>
            </w:r>
          </w:p>
        </w:tc>
      </w:tr>
      <w:tr>
        <w:trPr>
          <w:trHeight w:val="375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Iepirkumu komisijas izveidošanas pamatojums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arastai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Iepirkumu komisija apstiprināta ar 2018.gada 2.maija Rucavas novada domes lēmumu “Par Rucavas novada pašvaldības iepirkumu komisijas sastāva grozīšanu” (protokols Nr.9; 4.), ar grozījumiem par izmaiņām komisijas sastāvā 2018.gada 25.oktobra lēmumi (protokols Nr.18; 6.) un (protokols Nr.18; 7.), 2018.gada 22.novembra lēmums (protokols Nr.20; 5.); </w:t>
            </w:r>
          </w:p>
          <w:p>
            <w:pPr>
              <w:pStyle w:val="Parastai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2018.gada 10.maija Iepirkumu komisijas lēmumi (protokols Nr.1) un 2018.gada 9.novembra Iepirkumu komisijas lēmums (protokols Nr.1) par iepirkumu komisijas priekšsēdētāja, vietnieka un sekretāra amatiem. (turpmāk tekstā – Komisija). </w:t>
            </w:r>
          </w:p>
        </w:tc>
      </w:tr>
      <w:tr>
        <w:trPr>
          <w:trHeight w:val="1154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Iepirkuma komisijas sastāvs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483" w:hanging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none"/>
              </w:rPr>
              <w:t>Komisijas priekšsēdētāja: Ināra Reine</w:t>
            </w:r>
          </w:p>
          <w:p>
            <w:pPr>
              <w:pStyle w:val="Normal"/>
              <w:ind w:right="-483" w:hanging="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Komisijas priekšsēdētājas vietnieks: Artis Ķūsis</w:t>
            </w:r>
          </w:p>
          <w:p>
            <w:pPr>
              <w:pStyle w:val="Normal"/>
              <w:ind w:right="-48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Komisijas locekļi: Edgars Riežnieks, Jānis Vidējais,</w:t>
            </w:r>
          </w:p>
          <w:p>
            <w:pPr>
              <w:pStyle w:val="Normal"/>
              <w:ind w:right="-483" w:hanging="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Agija Kaunese, Santa Zuļģe</w:t>
            </w:r>
          </w:p>
        </w:tc>
      </w:tr>
      <w:tr>
        <w:trPr>
          <w:trHeight w:val="795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Plānotā piedāvājumu iesniegšanas vieta, datums un laiks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Rucavas novada domē, „Pagastmāja”, Rucava, Rucavas pagasts, Rucavas novads, līdz 2019.gada 30.aprīlim pulksten 14.00.</w:t>
            </w:r>
          </w:p>
        </w:tc>
      </w:tr>
      <w:tr>
        <w:trPr>
          <w:trHeight w:val="264" w:hRule="atLeast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Plānotā piedāvājumu atvēršanas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vieta, datums un laiks</w:t>
            </w:r>
          </w:p>
          <w:p>
            <w:pPr>
              <w:pStyle w:val="Parastais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Rucavas novada domē, „Pagastmāja”, Rucava, Rucavas pagasts, Rucavas novads, 2019.gada 30.aprīlī pulksten 14.00.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Pretendentiem noteiktās kvalifikācijas prasības: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color w:val="auto"/>
                <w:sz w:val="24"/>
                <w:szCs w:val="24"/>
                <w:lang w:val="lv-LV"/>
              </w:rPr>
              <w:t>Pretendents ir reģistrēts, licencēts un/vai sertificēts atbilstoši attiecīgās valsts normatīvo aktu prasībām, tiesīgs veikt Pasūtītājam nepieciešamos darbus.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Pretendenta rīcībā ir visi nepieciešamie resursi savlaicīgai un kvalitatīvai līguma izpildei.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1134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Pretendentam iepriekšējo 5 (</w:t>
            </w: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</w:rPr>
              <w:t>piecu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) gadu laikā (2014., 2015., 2016., 2017., 2018.gadā un 2019.gadā līdz piedāvājumu iesniegšanas termiņa beigām) ir pieredze vismaz 2 </w:t>
            </w: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</w:rPr>
              <w:t>(divu)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 līdzīgu*</w:t>
            </w: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līgumu ar abu līgumu kopējo līgumcenu, kas nav mazāka par EUR 10 000,00 (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desmit</w:t>
            </w: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</w:rPr>
              <w:t xml:space="preserve">  tūkstoši euro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) bez PVN, savlaicīgā un kvalitatīvā izpildē. Par abiem līgumiem saņemtas pozitīvas atsauksmes no attiecīgo darbu pasūtītājiem.</w:t>
            </w:r>
          </w:p>
        </w:tc>
      </w:tr>
      <w:tr>
        <w:trPr>
          <w:trHeight w:val="264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left" w:pos="854" w:leader="none"/>
                <w:tab w:val="left" w:pos="3600" w:leader="none"/>
                <w:tab w:val="left" w:pos="450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color w:val="auto"/>
                <w:sz w:val="24"/>
                <w:szCs w:val="24"/>
              </w:rPr>
              <w:t>*Par līdzīgu līgumu Komisija atzīs</w:t>
            </w:r>
            <w:r>
              <w:rPr>
                <w:rFonts w:cs="Times New Roman" w:ascii="Times New Roman" w:hAnsi="Times New Roman"/>
                <w:b/>
                <w:bCs w:val="false"/>
                <w:i/>
                <w:color w:val="auto"/>
                <w:sz w:val="24"/>
                <w:szCs w:val="24"/>
              </w:rPr>
              <w:t xml:space="preserve"> līgumu par ēkas projekta izstrādi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color w:val="auto"/>
                <w:sz w:val="24"/>
                <w:szCs w:val="24"/>
              </w:rPr>
              <w:t xml:space="preserve"> (jaunbūve, atjaunošana, pārbūve).</w:t>
            </w:r>
          </w:p>
        </w:tc>
      </w:tr>
      <w:tr>
        <w:trPr>
          <w:trHeight w:val="531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Spacing"/>
              <w:tabs>
                <w:tab w:val="clear" w:pos="720"/>
                <w:tab w:val="left" w:pos="0" w:leader="none"/>
                <w:tab w:val="left" w:pos="743" w:leader="none"/>
              </w:tabs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</w:rPr>
              <w:t>Ja piedāvājumu iesniedz piegādātāju apvienība, piedāvājuma dokumentus paraksta atbilstoši piegādātāju savstarpējās vienošanās nosacījumiem. Pretendentam jāiesniedz atlases dokumenti par katru apvienības dalībnieku.</w:t>
            </w:r>
          </w:p>
        </w:tc>
      </w:tr>
      <w:tr>
        <w:trPr>
          <w:trHeight w:val="827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Pamatteksts"/>
              <w:tabs>
                <w:tab w:val="clear" w:pos="720"/>
                <w:tab w:val="left" w:pos="0" w:leader="none"/>
                <w:tab w:val="left" w:pos="743" w:leader="none"/>
              </w:tabs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Helvetica" w:cs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</w:rPr>
              <w:t>Pretendent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</w:rPr>
              <w:t xml:space="preserve">a piesaistītajiem apakšuzņēmējiem ir visi nepieciešamie sertifikāti, licences un atļaujas norādīto darba daļu veikšanai. </w:t>
            </w:r>
          </w:p>
        </w:tc>
      </w:tr>
      <w:tr>
        <w:trPr>
          <w:trHeight w:val="689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Pretendentu saraksts, reģistrācijas numurs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</w:tcPr>
          <w:p>
            <w:pPr>
              <w:pStyle w:val="Parastais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Piedāvātā finanšu līgumcena </w:t>
            </w:r>
          </w:p>
          <w:p>
            <w:pPr>
              <w:pStyle w:val="Parastais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(EUR bez PVN)</w:t>
            </w:r>
          </w:p>
        </w:tc>
      </w:tr>
      <w:tr>
        <w:trPr>
          <w:trHeight w:val="633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4"/>
                <w:szCs w:val="24"/>
                <w:lang w:val="lv-LV" w:eastAsia="lv-LV"/>
              </w:rPr>
              <w:t xml:space="preserve">SIA “Campaign”, </w:t>
            </w:r>
          </w:p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4"/>
                <w:szCs w:val="24"/>
                <w:lang w:val="lv-LV" w:eastAsia="lv-LV"/>
              </w:rPr>
              <w:t>reģistrācijas Nr.50003773841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2449,78</w:t>
            </w:r>
          </w:p>
        </w:tc>
      </w:tr>
      <w:tr>
        <w:trPr>
          <w:trHeight w:val="633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  <w:t>SIA “Vprojekts”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lv-LV" w:eastAsia="lv-LV"/>
              </w:rPr>
              <w:t xml:space="preserve">, </w:t>
            </w:r>
          </w:p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v-LV" w:eastAsia="lv-LV"/>
              </w:rPr>
              <w:t>reģistrācijas Nr.42102010421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2990,00</w:t>
            </w:r>
          </w:p>
        </w:tc>
      </w:tr>
      <w:tr>
        <w:trPr>
          <w:trHeight w:val="633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v-LV" w:eastAsia="lv-LV"/>
              </w:rPr>
              <w:t>SIA “JOE”,</w:t>
            </w:r>
          </w:p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v-LV" w:eastAsia="lv-LV"/>
              </w:rPr>
              <w:t>reģistrācijas Nr.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shd w:fill="FFFFFF" w:val="clear"/>
                <w:lang w:val="lv-LV" w:eastAsia="lv-LV"/>
              </w:rPr>
              <w:t>43603067147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9350,00</w:t>
            </w:r>
          </w:p>
        </w:tc>
      </w:tr>
      <w:tr>
        <w:trPr>
          <w:trHeight w:val="633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 w:eastAsia="lv-LV"/>
              </w:rPr>
              <w:t>SIA “JaunRīga ECO”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lv-LV" w:eastAsia="lv-LV"/>
              </w:rPr>
              <w:t xml:space="preserve">, </w:t>
            </w:r>
          </w:p>
          <w:p>
            <w:pPr>
              <w:pStyle w:val="Ietvarasaturs"/>
              <w:numPr>
                <w:ilvl w:val="0"/>
                <w:numId w:val="0"/>
              </w:numPr>
              <w:tabs>
                <w:tab w:val="clear" w:pos="720"/>
                <w:tab w:val="left" w:pos="2973" w:leader="none"/>
              </w:tabs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lv-LV" w:eastAsia="lv-LV"/>
              </w:rPr>
              <w:t>reģistrācijas Nr.40103680902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12340,00</w:t>
            </w:r>
          </w:p>
        </w:tc>
      </w:tr>
      <w:tr>
        <w:trPr>
          <w:trHeight w:val="489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Izslēgtie pretendenti: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47" w:leader="none"/>
              </w:tabs>
              <w:spacing w:lineRule="auto" w:line="240" w:before="0" w:after="0"/>
              <w:ind w:left="720" w:right="93" w:hanging="0"/>
              <w:contextualSpacing/>
              <w:jc w:val="both"/>
              <w:rPr/>
            </w:pPr>
            <w:r>
              <w:rPr>
                <w:b w:val="false"/>
                <w:bCs w:val="false"/>
                <w:color w:val="auto"/>
                <w:sz w:val="24"/>
                <w:szCs w:val="24"/>
                <w:lang w:val="lv-LV"/>
              </w:rPr>
              <w:t>Nav.</w:t>
            </w:r>
          </w:p>
        </w:tc>
      </w:tr>
      <w:tr>
        <w:trPr>
          <w:trHeight w:val="689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Calibri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iCs/>
                <w:sz w:val="24"/>
                <w:szCs w:val="24"/>
              </w:rPr>
              <w:t>Iepirkuma līguma izpildē piesaistīts apakšuzņēmējs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147" w:leader="none"/>
              </w:tabs>
              <w:spacing w:lineRule="auto" w:line="240" w:before="0" w:after="0"/>
              <w:ind w:left="720" w:right="93" w:hanging="0"/>
              <w:contextualSpacing/>
              <w:jc w:val="both"/>
              <w:rPr/>
            </w:pPr>
            <w:r>
              <w:rPr>
                <w:sz w:val="24"/>
                <w:szCs w:val="24"/>
              </w:rPr>
              <w:t>Nav.</w:t>
            </w:r>
          </w:p>
        </w:tc>
      </w:tr>
      <w:tr>
        <w:trPr>
          <w:trHeight w:val="689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Piedāvājuma izvēles kritērijs un vērtēšanas kārtība: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MT"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lv-LV"/>
              </w:rPr>
              <w:t xml:space="preserve">Pamatojoties uz Publisko iepirkumu likuma 51.pantu, Komisija piešķir līguma slēgšanas tiesības saimnieciski visizdevīgākajam piedāvājumam, ņemot vērā tikai piedāvāto kopējo cenu. </w:t>
            </w:r>
            <w:r>
              <w:rPr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4"/>
                <w:szCs w:val="24"/>
                <w:lang w:eastAsia="lv-LV"/>
              </w:rPr>
              <w:t xml:space="preserve"> Komisija izvēlas piedāvājumu ar viszemāko cenu, kas atbilst nolikuma un tā pielikumu prasībām, un nav atzīts par nepamatoti lētu. </w:t>
            </w:r>
          </w:p>
          <w:p>
            <w:pPr>
              <w:pStyle w:val="Ietvarasaturs"/>
              <w:spacing w:lineRule="auto" w:line="240" w:before="0" w:after="0"/>
              <w:ind w:hanging="0"/>
              <w:jc w:val="both"/>
              <w:rPr/>
            </w:pPr>
            <w:r>
              <w:rPr>
                <w:rStyle w:val="Noklusjumarindkopasfonts1"/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4"/>
                <w:szCs w:val="24"/>
                <w:lang w:val="lv-LV" w:eastAsia="lv-LV"/>
              </w:rPr>
              <w:t xml:space="preserve">SIA “Campaign”, reģistrācijas Nr.50003773841, piedāvājums </w:t>
            </w:r>
            <w:r>
              <w:rPr>
                <w:rStyle w:val="Noklusjumarindkopasfonts1"/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4"/>
                <w:szCs w:val="24"/>
                <w:lang w:val="lv-LV" w:eastAsia="lv-LV"/>
              </w:rPr>
              <w:t xml:space="preserve">ar viszemāko cenu atbilst visām iepirkuma nolikumā izvirzītajām prasībām un nav atzīts par nepamatoti lētu.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oklusjumarindkopasfonts1"/>
                <w:rFonts w:eastAsia="ArialMT" w:cs="Times New Roman" w:ascii="Times New Roman" w:hAnsi="Times New Roman"/>
                <w:b w:val="false"/>
                <w:bCs w:val="false"/>
                <w:iCs/>
                <w:color w:val="auto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>
        <w:trPr/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Iepirkumu komisijas lēmums:</w:t>
            </w:r>
          </w:p>
        </w:tc>
      </w:tr>
      <w:tr>
        <w:trPr>
          <w:trHeight w:val="719" w:hRule="atLeast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Piešķirt līguma slēgšanas tiesības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auto"/>
                <w:sz w:val="24"/>
                <w:szCs w:val="24"/>
                <w:lang w:val="lv-LV" w:eastAsia="lv-LV"/>
              </w:rPr>
              <w:t>SIA “Campaign”, reģistrācijas Nr.50003773841, par līgumcenu 2449,78 EUR bez PVN.</w:t>
            </w:r>
          </w:p>
        </w:tc>
      </w:tr>
      <w:tr>
        <w:trPr/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29.05.2019.</w:t>
            </w:r>
          </w:p>
        </w:tc>
      </w:tr>
      <w:tr>
        <w:trPr>
          <w:trHeight w:val="185" w:hRule="atLeast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Parastais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Ziņojuma sagatavošanas vieta un laiks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Kjene"/>
              <w:tabs>
                <w:tab w:val="left" w:pos="915" w:leader="none"/>
                <w:tab w:val="center" w:pos="4153" w:leader="none"/>
                <w:tab w:val="right" w:pos="8306" w:leader="none"/>
              </w:tabs>
              <w:rPr/>
            </w:pPr>
            <w:r>
              <w:rPr>
                <w:sz w:val="24"/>
                <w:szCs w:val="24"/>
              </w:rPr>
              <w:t>Rucavas novada domē, 29.05.2019.</w:t>
            </w:r>
          </w:p>
        </w:tc>
      </w:tr>
    </w:tbl>
    <w:p>
      <w:pPr>
        <w:pStyle w:val="Parastais"/>
        <w:ind w:left="-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stais"/>
        <w:ind w:left="-426" w:hanging="0"/>
        <w:rPr/>
      </w:pPr>
      <w:r>
        <w:rPr>
          <w:sz w:val="24"/>
          <w:szCs w:val="24"/>
        </w:rPr>
        <w:t>Iepirkumu komisijas priekšsēdētāja                                                                     I.Reine</w:t>
      </w:r>
    </w:p>
    <w:p>
      <w:pPr>
        <w:pStyle w:val="Parastais"/>
        <w:ind w:left="-426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Parastais"/>
        <w:ind w:left="-426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Ziņojumu sagatavoja</w:t>
      </w:r>
    </w:p>
    <w:p>
      <w:pPr>
        <w:pStyle w:val="Parastais"/>
        <w:ind w:left="-426" w:hanging="0"/>
        <w:rPr/>
      </w:pPr>
      <w:r>
        <w:rPr>
          <w:sz w:val="20"/>
          <w:szCs w:val="20"/>
        </w:rPr>
        <w:t>S.Zuļģe</w:t>
      </w:r>
    </w:p>
    <w:sectPr>
      <w:footerReference w:type="default" r:id="rId3"/>
      <w:type w:val="nextPage"/>
      <w:pgSz w:w="11906" w:h="16838"/>
      <w:pgMar w:left="1701" w:right="1134" w:header="0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0570557"/>
    </w:sdtPr>
    <w:sdtContent>
      <w:p>
        <w:pPr>
          <w:pStyle w:val="Kjen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Kjen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4713c"/>
    <w:rPr>
      <w:rFonts w:ascii="Times New Roman" w:hAnsi="Times New Roman" w:eastAsia="Times New Roman" w:cs="Times New Roman"/>
      <w:sz w:val="24"/>
      <w:szCs w:val="24"/>
      <w:lang w:val="x-none" w:eastAsia="lv-LV"/>
    </w:rPr>
  </w:style>
  <w:style w:type="character" w:styleId="Internetasaite">
    <w:name w:val="Interneta saite"/>
    <w:uiPriority w:val="99"/>
    <w:unhideWhenUsed/>
    <w:rsid w:val="00e4713c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12e42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66d37"/>
    <w:rPr>
      <w:rFonts w:ascii="Tahoma" w:hAnsi="Tahoma" w:eastAsia="Times New Roman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qFormat/>
    <w:rsid w:val="004477a3"/>
    <w:rPr>
      <w:rFonts w:ascii="Times New Roman" w:hAnsi="Times New Roman" w:eastAsia="Times New Roman"/>
      <w:sz w:val="28"/>
      <w:lang w:val="x-none" w:eastAsia="en-US"/>
    </w:rPr>
  </w:style>
  <w:style w:type="character" w:styleId="ListParagraphChar" w:customStyle="1">
    <w:name w:val="List Paragraph Char"/>
    <w:link w:val="ListParagraph"/>
    <w:qFormat/>
    <w:rsid w:val="00fb4980"/>
    <w:rPr>
      <w:rFonts w:ascii="Times New Roman" w:hAnsi="Times New Roman" w:eastAsia="Times New Roman"/>
      <w:sz w:val="24"/>
      <w:szCs w:val="24"/>
      <w:lang w:val="en-GB" w:eastAsia="en-US"/>
    </w:rPr>
  </w:style>
  <w:style w:type="character" w:styleId="BodyText3Char" w:customStyle="1">
    <w:name w:val="Body Text 3 Char"/>
    <w:basedOn w:val="DefaultParagraphFont"/>
    <w:link w:val="BodyText3"/>
    <w:qFormat/>
    <w:rsid w:val="001c6f37"/>
    <w:rPr>
      <w:rFonts w:ascii="Times New Roman" w:hAnsi="Times New Roman" w:eastAsia="Times New Roman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1c6f37"/>
    <w:rPr>
      <w:rFonts w:ascii="Times New Roman" w:hAnsi="Times New Roman" w:eastAsia="Times New Roman" w:cs="Arial Unicode MS"/>
      <w:lang w:val="en-US" w:bidi="lo-LA"/>
    </w:rPr>
  </w:style>
  <w:style w:type="character" w:styleId="Vresenkurs">
    <w:name w:val="Vēres enkurs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6f37"/>
    <w:rPr>
      <w:rFonts w:cs="Times New Roman"/>
      <w:vertAlign w:val="superscript"/>
    </w:rPr>
  </w:style>
  <w:style w:type="character" w:styleId="TitleChar" w:customStyle="1">
    <w:name w:val="Title Char"/>
    <w:basedOn w:val="DefaultParagraphFont"/>
    <w:link w:val="Title"/>
    <w:qFormat/>
    <w:rsid w:val="00d56364"/>
    <w:rPr>
      <w:rFonts w:ascii="Times New Roman" w:hAnsi="Times New Roman" w:eastAsia="Times New Roman"/>
      <w:b/>
      <w:color w:val="000000"/>
      <w:sz w:val="28"/>
      <w:szCs w:val="28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  <w:bCs/>
      <w:color w:val="auto"/>
      <w:sz w:val="24"/>
      <w:szCs w:val="24"/>
    </w:rPr>
  </w:style>
  <w:style w:type="character" w:styleId="ListLabel12">
    <w:name w:val="ListLabel 12"/>
    <w:qFormat/>
    <w:rPr>
      <w:rFonts w:cs="Times New Roman"/>
      <w:b w:val="false"/>
      <w:i w:val="false"/>
      <w:color w:val="000000"/>
      <w:sz w:val="24"/>
      <w:szCs w:val="2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 w:val="false"/>
      <w:color w:val="auto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b/>
      <w:color w:val="auto"/>
      <w:sz w:val="22"/>
      <w:szCs w:val="22"/>
    </w:rPr>
  </w:style>
  <w:style w:type="character" w:styleId="ListLabel24">
    <w:name w:val="ListLabel 24"/>
    <w:qFormat/>
    <w:rPr>
      <w:b w:val="false"/>
      <w:i w:val="false"/>
      <w:color w:val="000000"/>
      <w:sz w:val="22"/>
      <w:szCs w:val="22"/>
    </w:rPr>
  </w:style>
  <w:style w:type="character" w:styleId="ListLabel25">
    <w:name w:val="ListLabel 25"/>
    <w:qFormat/>
    <w:rPr>
      <w:i w:val="false"/>
    </w:rPr>
  </w:style>
  <w:style w:type="character" w:styleId="ListLabel26">
    <w:name w:val="ListLabel 26"/>
    <w:qFormat/>
    <w:rPr>
      <w:b/>
    </w:rPr>
  </w:style>
  <w:style w:type="character" w:styleId="Noklusjumarindkopasfonts1">
    <w:name w:val="Noklusējuma rindkopas fonts1"/>
    <w:qFormat/>
    <w:rPr/>
  </w:style>
  <w:style w:type="character" w:styleId="ListLabel921">
    <w:name w:val="ListLabel 921"/>
    <w:qFormat/>
    <w:rPr>
      <w:rFonts w:eastAsia="Helvetica;Arial" w:cs="Times New Roman"/>
      <w:color w:val="auto"/>
      <w:sz w:val="24"/>
      <w:szCs w:val="24"/>
      <w:u w:val="none"/>
      <w:lang w:eastAsia="ar-SA"/>
    </w:rPr>
  </w:style>
  <w:style w:type="character" w:styleId="ListLabel922">
    <w:name w:val="ListLabel 922"/>
    <w:qFormat/>
    <w:rPr>
      <w:rFonts w:ascii="Times New Roman" w:hAnsi="Times New Roman" w:eastAsia="Helvetica;Arial" w:cs="Times New Roman"/>
      <w:bCs/>
      <w:color w:val="auto"/>
      <w:sz w:val="24"/>
      <w:szCs w:val="24"/>
      <w:u w:val="none"/>
      <w:lang w:eastAsia="ar-SA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link w:val="BodyTextChar"/>
    <w:rsid w:val="004477a3"/>
    <w:pPr>
      <w:jc w:val="both"/>
    </w:pPr>
    <w:rPr>
      <w:rFonts w:ascii="Times New Roman" w:hAnsi="Times New Roman" w:eastAsia="Times New Roman"/>
      <w:sz w:val="28"/>
      <w:lang w:val="x-none" w:eastAsia="en-US"/>
    </w:rPr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Parastais" w:customStyle="1">
    <w:name w:val="Parastais"/>
    <w:qFormat/>
    <w:rsid w:val="00e471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lv-LV" w:bidi="ar-SA"/>
    </w:rPr>
  </w:style>
  <w:style w:type="paragraph" w:styleId="Kjene">
    <w:name w:val="Footer"/>
    <w:basedOn w:val="Parastais"/>
    <w:link w:val="FooterChar"/>
    <w:uiPriority w:val="99"/>
    <w:rsid w:val="00e4713c"/>
    <w:pPr>
      <w:tabs>
        <w:tab w:val="clear" w:pos="720"/>
        <w:tab w:val="center" w:pos="4153" w:leader="none"/>
        <w:tab w:val="right" w:pos="8306" w:leader="none"/>
      </w:tabs>
    </w:pPr>
    <w:rPr>
      <w:lang w:val="x-none"/>
    </w:rPr>
  </w:style>
  <w:style w:type="paragraph" w:styleId="NoSpacing">
    <w:name w:val="No Spacing"/>
    <w:qFormat/>
    <w:rsid w:val="00e4713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ar-SA" w:bidi="ar-SA"/>
    </w:rPr>
  </w:style>
  <w:style w:type="paragraph" w:styleId="ListParagraph">
    <w:name w:val="List Paragraph"/>
    <w:basedOn w:val="Parastais"/>
    <w:link w:val="ListParagraphChar"/>
    <w:qFormat/>
    <w:rsid w:val="00e4713c"/>
    <w:pPr>
      <w:spacing w:before="0" w:after="0"/>
      <w:ind w:left="720" w:hanging="0"/>
      <w:contextualSpacing/>
    </w:pPr>
    <w:rPr>
      <w:lang w:val="en-GB" w:eastAsia="en-US"/>
    </w:rPr>
  </w:style>
  <w:style w:type="paragraph" w:styleId="Normal1" w:customStyle="1">
    <w:name w:val="Normal1"/>
    <w:qFormat/>
    <w:rsid w:val="00e4713c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Parasts1" w:customStyle="1">
    <w:name w:val="Parasts1"/>
    <w:qFormat/>
    <w:rsid w:val="00e4713c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Galvene">
    <w:name w:val="Header"/>
    <w:basedOn w:val="Parastais"/>
    <w:link w:val="HeaderChar"/>
    <w:uiPriority w:val="99"/>
    <w:unhideWhenUsed/>
    <w:rsid w:val="00d12e4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Parastais"/>
    <w:link w:val="BalloonTextChar"/>
    <w:uiPriority w:val="99"/>
    <w:semiHidden/>
    <w:unhideWhenUsed/>
    <w:qFormat/>
    <w:rsid w:val="00766d37"/>
    <w:pPr/>
    <w:rPr>
      <w:rFonts w:ascii="Tahoma" w:hAnsi="Tahoma" w:cs="Tahoma"/>
      <w:sz w:val="16"/>
      <w:szCs w:val="16"/>
    </w:rPr>
  </w:style>
  <w:style w:type="paragraph" w:styleId="Paragrfs" w:customStyle="1">
    <w:name w:val="Paragrāfs"/>
    <w:basedOn w:val="Normal"/>
    <w:next w:val="Normal"/>
    <w:qFormat/>
    <w:rsid w:val="004477a3"/>
    <w:pPr>
      <w:suppressAutoHyphens w:val="true"/>
      <w:jc w:val="both"/>
    </w:pPr>
    <w:rPr>
      <w:rFonts w:ascii="Arial" w:hAnsi="Arial" w:eastAsia="Times New Roman"/>
      <w:szCs w:val="24"/>
      <w:lang w:eastAsia="ar-SA"/>
    </w:rPr>
  </w:style>
  <w:style w:type="paragraph" w:styleId="BodyText3">
    <w:name w:val="Body Text 3"/>
    <w:basedOn w:val="Normal"/>
    <w:link w:val="BodyText3Char"/>
    <w:qFormat/>
    <w:rsid w:val="001c6f37"/>
    <w:pPr>
      <w:spacing w:before="0" w:after="120"/>
    </w:pPr>
    <w:rPr>
      <w:rFonts w:ascii="Times New Roman" w:hAnsi="Times New Roman" w:eastAsia="Times New Roman"/>
      <w:sz w:val="16"/>
      <w:szCs w:val="16"/>
    </w:rPr>
  </w:style>
  <w:style w:type="paragraph" w:styleId="Vre">
    <w:name w:val="Footnote Text"/>
    <w:basedOn w:val="Normal"/>
    <w:link w:val="FootnoteTextChar"/>
    <w:uiPriority w:val="99"/>
    <w:rsid w:val="001c6f37"/>
    <w:pPr/>
    <w:rPr>
      <w:rFonts w:ascii="Times New Roman" w:hAnsi="Times New Roman" w:eastAsia="Times New Roman" w:cs="Arial Unicode MS"/>
      <w:lang w:val="en-US" w:bidi="lo-LA"/>
    </w:rPr>
  </w:style>
  <w:style w:type="paragraph" w:styleId="Nosaukums">
    <w:name w:val="Title"/>
    <w:basedOn w:val="Normal"/>
    <w:next w:val="Normal"/>
    <w:link w:val="TitleChar"/>
    <w:qFormat/>
    <w:rsid w:val="00d56364"/>
    <w:pPr>
      <w:keepNext w:val="true"/>
      <w:keepLines/>
      <w:jc w:val="center"/>
    </w:pPr>
    <w:rPr>
      <w:rFonts w:ascii="Times New Roman" w:hAnsi="Times New Roman" w:eastAsia="Times New Roman"/>
      <w:b/>
      <w:color w:val="000000"/>
      <w:sz w:val="28"/>
      <w:szCs w:val="28"/>
    </w:rPr>
  </w:style>
  <w:style w:type="paragraph" w:styleId="Ietvarasaturs">
    <w:name w:val="Ietvara satur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ub.gov.lv/lv/iubcpv/parent/8076/clasif/main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E658-23EA-41B5-B515-E71B8EB1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LibreOffice/6.1.4.2$Windows_X86_64 LibreOffice_project/9d0f32d1f0b509096fd65e0d4bec26ddd1938fd3</Application>
  <Pages>4</Pages>
  <Words>511</Words>
  <Characters>3862</Characters>
  <CharactersWithSpaces>4398</CharactersWithSpaces>
  <Paragraphs>70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2018-10-11T10:15:00Z</dcterms:created>
  <dc:creator>bmillere</dc:creator>
  <dc:description/>
  <dc:language>lv-LV</dc:language>
  <cp:lastModifiedBy/>
  <cp:lastPrinted>2019-05-31T10:00:10Z</cp:lastPrinted>
  <dcterms:modified xsi:type="dcterms:W3CDTF">2019-05-31T10:01:16Z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