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jc w:val="center"/>
        <w:rPr>
          <w:b/>
          <w:b/>
          <w:highlight w:val="yellow"/>
          <w:lang w:val="lv-LV"/>
        </w:rPr>
      </w:pPr>
      <w:bookmarkStart w:id="0" w:name="__DdeLink__198_1730131039"/>
      <w:r>
        <w:rPr>
          <w:rFonts w:ascii="Times New Roman" w:hAnsi="Times New Roman"/>
          <w:b/>
          <w:sz w:val="24"/>
          <w:szCs w:val="24"/>
          <w:lang w:val="lv-LV"/>
        </w:rPr>
        <w:t>Ziņojums par lēmuma pieņemšanu</w:t>
      </w:r>
      <w:bookmarkEnd w:id="0"/>
      <w:r>
        <w:rPr>
          <w:rFonts w:ascii="Times New Roman" w:hAnsi="Times New Roman"/>
          <w:b/>
          <w:sz w:val="24"/>
          <w:szCs w:val="24"/>
          <w:lang w:val="lv-LV"/>
        </w:rPr>
        <w:t xml:space="preserve"> iepirkumā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 w:ascii="Times New Roman" w:hAnsi="Times New Roman"/>
          <w:b/>
          <w:bCs/>
          <w:color w:val="000000"/>
          <w:sz w:val="24"/>
          <w:szCs w:val="24"/>
          <w:lang w:bidi="lv-LV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eastAsia="Arial Unicode MS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sz w:val="24"/>
          <w:szCs w:val="24"/>
          <w:u w:val="none"/>
          <w:em w:val="none"/>
          <w:lang w:val="lv-LV" w:eastAsia="lv-LV" w:bidi="lv-LV"/>
        </w:rPr>
        <w:t xml:space="preserve">Rucavas novada pašvaldības autoceļu uzturēšanas darbi ceļiem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sz w:val="24"/>
          <w:szCs w:val="24"/>
          <w:u w:val="none"/>
          <w:em w:val="none"/>
          <w:lang w:val="lv-LV" w:eastAsia="lv-LV" w:bidi="lv-LV"/>
        </w:rPr>
        <w:t>ar asfalta (melno) segumu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27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86"/>
        <w:gridCol w:w="829"/>
        <w:gridCol w:w="5111"/>
      </w:tblGrid>
      <w:tr>
        <w:trPr>
          <w:trHeight w:val="939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Pasūtītājs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Rucavas novada dome,</w:t>
            </w:r>
          </w:p>
          <w:p>
            <w:pPr>
              <w:pStyle w:val="Parastai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Reģistrācijas numurs 90000059230, adrese ’’Pagastmāja’’, </w:t>
            </w:r>
          </w:p>
          <w:p>
            <w:pPr>
              <w:pStyle w:val="Parastai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Rucava, Rucavas pagasts, Rucavas novads, LV-3477 </w:t>
            </w:r>
          </w:p>
        </w:tc>
      </w:tr>
      <w:tr>
        <w:trPr>
          <w:trHeight w:val="563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Iepirkuma identifikācijas numurs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spacing w:lineRule="auto" w:line="240" w:before="0" w:after="0"/>
              <w:ind w:left="34" w:right="113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RND 2019/5</w:t>
            </w:r>
          </w:p>
        </w:tc>
      </w:tr>
      <w:tr>
        <w:trPr>
          <w:trHeight w:val="563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Iepirkuma procedūras veids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spacing w:lineRule="auto" w:line="240" w:before="0" w:after="0"/>
              <w:jc w:val="both"/>
              <w:rPr>
                <w:bCs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Publisko iepirkumu likuma 9.panta kārtībā</w:t>
            </w:r>
          </w:p>
        </w:tc>
      </w:tr>
      <w:tr>
        <w:trPr>
          <w:trHeight w:val="534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Līguma priekšmets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8" w:leader="none"/>
                <w:tab w:val="left" w:pos="613" w:leader="none"/>
              </w:tabs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1"/>
                <w:sz w:val="22"/>
                <w:szCs w:val="22"/>
                <w:u w:val="none"/>
                <w:em w:val="none"/>
                <w:lang w:val="lv-LV" w:eastAsia="lv-LV" w:bidi="lv-LV"/>
              </w:rPr>
              <w:t>Rucavas novada pašvaldības autoceļu uzturēšanas darbi ceļiem ar asfalta (melno) segumu</w:t>
            </w:r>
          </w:p>
        </w:tc>
      </w:tr>
      <w:tr>
        <w:trPr/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ind w:left="33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Līguma izpildes termiņš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0" w:leader="none"/>
                <w:tab w:val="left" w:pos="601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auto"/>
                <w:sz w:val="22"/>
                <w:szCs w:val="22"/>
                <w:lang w:val="lv-LV"/>
              </w:rPr>
              <w:t>Līdz 2020.gada 30.septembrim vai līdz sasniedz līgumcenu, atkarībā no tā, kurš apstāklis iestājas pirmais. Līgumcena nedrīkst pārsniegt 41900,00 EUR bez PVN</w:t>
            </w:r>
          </w:p>
        </w:tc>
      </w:tr>
      <w:tr>
        <w:trPr>
          <w:trHeight w:val="441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CPV kodi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</w:rPr>
              <w:t xml:space="preserve">CPV kods – </w:t>
            </w:r>
            <w:r>
              <w:rPr>
                <w:rFonts w:eastAsia="Helvetica;Arial" w:cs="Times New Roman" w:ascii="Times New Roman" w:hAnsi="Times New Roman"/>
                <w:bCs/>
                <w:color w:val="auto"/>
                <w:sz w:val="22"/>
                <w:szCs w:val="22"/>
                <w:lang w:eastAsia="ar-SA"/>
              </w:rPr>
              <w:t xml:space="preserve"> 50230000-6 (</w:t>
            </w:r>
            <w:r>
              <w:rPr>
                <w:rFonts w:eastAsia="Helvetica;Arial" w:cs="Times New Roman" w:ascii="Times New Roman" w:hAnsi="Times New Roman"/>
                <w:bCs/>
                <w:color w:val="auto"/>
                <w:sz w:val="22"/>
                <w:szCs w:val="22"/>
                <w:shd w:fill="auto" w:val="clear"/>
                <w:lang w:eastAsia="ar-SA"/>
              </w:rPr>
              <w:t>Remonta, tehniskās apkopes un saistītie pakalpojumi attiecībā uz ceļiem un citām iekārtām)</w:t>
            </w:r>
          </w:p>
        </w:tc>
      </w:tr>
      <w:tr>
        <w:trPr>
          <w:trHeight w:val="728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Paziņojums par plānoto līgumu  publicēts www.iub.gov.lv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30.05.2019.</w:t>
            </w:r>
          </w:p>
        </w:tc>
      </w:tr>
      <w:tr>
        <w:trPr>
          <w:trHeight w:val="375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Iepirkumu komisijas izveidošanas pamatojums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Iepirkumu komisija apstiprināta ar 2018.gada 2.maija Rucavas novada domes lēmumu “Par Rucavas novada pašvaldības iepirkumu komisijas sastāva grozīšanu” (protokols Nr.9; 4.), ar grozījumiem par izmaiņām komisijas sastāvā 2018.gada 25.oktobra lēmumi (protokols Nr.18; 6.) un (protokols Nr.18; 7.), 2018.gada 22.novembra lēmums (protokols Nr.20; 5.); </w:t>
            </w:r>
          </w:p>
          <w:p>
            <w:pPr>
              <w:pStyle w:val="Parastais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2018.gada 10.maija Iepirkumu komisijas lēmumi (protokols Nr.1) un 2018.gada 9.novembra Iepirkumu komisijas lēmums (protokols Nr.1) par iepirkumu komisijas priekšsēdētāja, vietnieka un sekretāra amatiem. (turpmāk tekstā – Komisija). </w:t>
            </w:r>
          </w:p>
        </w:tc>
      </w:tr>
      <w:tr>
        <w:trPr>
          <w:trHeight w:val="1154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Iepirkuma komisijas sastāvs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483" w:hanging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Komisijas priekšsēdētāja: Ināra Reine</w:t>
            </w:r>
          </w:p>
          <w:p>
            <w:pPr>
              <w:pStyle w:val="Normal"/>
              <w:spacing w:lineRule="auto" w:line="240" w:before="0" w:after="0"/>
              <w:ind w:right="-483" w:hanging="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Komisijas priekšsēdētājas vietnieks: Artis Ķūsis</w:t>
            </w:r>
          </w:p>
          <w:p>
            <w:pPr>
              <w:pStyle w:val="Normal"/>
              <w:spacing w:lineRule="auto" w:line="240" w:before="0" w:after="0"/>
              <w:ind w:right="-48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Komisijas locekļi: Edgars Riežnieks, Jānis Vidējais,</w:t>
            </w:r>
          </w:p>
          <w:p>
            <w:pPr>
              <w:pStyle w:val="Normal"/>
              <w:spacing w:lineRule="auto" w:line="240" w:before="0" w:after="0"/>
              <w:ind w:right="-483" w:hanging="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Agija Kaunese, Santa Zuļģe</w:t>
            </w:r>
          </w:p>
        </w:tc>
      </w:tr>
      <w:tr>
        <w:trPr>
          <w:trHeight w:val="795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Plānotā piedāvājumu iesniegšanas vieta, datums un laiks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Rucavas novada domē, „Pagastmāja”, Rucava, Rucavas pagasts, Rucavas novads, līdz 2019.gada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11.jūnijam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pulksten 14.00.</w:t>
            </w:r>
          </w:p>
        </w:tc>
      </w:tr>
      <w:tr>
        <w:trPr>
          <w:trHeight w:val="264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Plānotā piedāvājumu atvēršanas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vieta, datums un laiks</w:t>
            </w:r>
          </w:p>
          <w:p>
            <w:pPr>
              <w:pStyle w:val="Parastais"/>
              <w:spacing w:lineRule="auto" w:line="240" w:before="0" w:after="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Rucavas novada domē, „Pagastmāja”, Rucava, Rucavas pagasts, Rucavas novads, 2019.gada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11.jūnijā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pulksten 14.00.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Pretendentiem noteiktās kvalifikācijas prasības: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Pretendents ir reģistrēts, licencēts un/vai sertificēts atbilstoši attiecīgās valsts normatīvo aktu prasībām, tiesīgs veikt Pasūtītājam nepieciešamo pakalpojumu.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Pretendenta rīcībā ir visi nepieciešamie resursi savlaicīgai un kvalitatīvai līguma izpildei.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Pamatteksts"/>
              <w:tabs>
                <w:tab w:val="clear" w:pos="720"/>
                <w:tab w:val="left" w:pos="640" w:leader="none"/>
                <w:tab w:val="left" w:pos="870" w:leader="none"/>
                <w:tab w:val="left" w:pos="11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Pretendentam iepriekšējo 3 (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lv-LV"/>
              </w:rPr>
              <w:t>trīs)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gadu laikā (2016., 2017., 2018.gadā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lv-LV"/>
              </w:rPr>
              <w:t>un 2019.gadā līdz piedāvājumu iesniegšanas termiņa beigām)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ir pieredze vismaz 2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lv-LV"/>
              </w:rPr>
              <w:t>(divu)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līdzīgu*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līgumu ar abu līgumu kopējo līgumcenu, kas nav mazāka par EUR 30 000,00 (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lv-LV"/>
              </w:rPr>
              <w:t>trīsdesmit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lv-LV"/>
              </w:rPr>
              <w:t>tūkstoši euro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) bez PVN, savlaicīgā un kvalitatīvā izpildē. Par abiem līgumiem ir saņemamas</w:t>
            </w:r>
            <w:r>
              <w:rPr>
                <w:rFonts w:cs="Calibri" w:ascii="Times New Roman" w:hAnsi="Times New Roman"/>
                <w:color w:val="auto"/>
                <w:sz w:val="22"/>
                <w:szCs w:val="22"/>
                <w:lang w:val="lv-LV"/>
              </w:rPr>
              <w:t xml:space="preserve"> pozitīvas atsauksmes no attiecīgo darbu pasūtītājiem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854" w:leader="none"/>
                <w:tab w:val="left" w:pos="3600" w:leader="none"/>
                <w:tab w:val="left" w:pos="450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color w:val="auto"/>
                <w:sz w:val="22"/>
                <w:szCs w:val="22"/>
              </w:rPr>
              <w:t>*Par līdzīgu līgumu Komisija atzīs</w:t>
            </w:r>
            <w:r>
              <w:rPr>
                <w:rFonts w:cs="Times New Roman" w:ascii="Times New Roman" w:hAnsi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auto"/>
                <w:sz w:val="22"/>
                <w:szCs w:val="22"/>
              </w:rPr>
              <w:t>autoceļu, vai to posmu, ar melno segumu uzturēšanas, atjaunošanas vai pārbūves darbu veikšanu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sz w:val="22"/>
                <w:szCs w:val="22"/>
                <w:lang w:eastAsia="lv-LV"/>
              </w:rPr>
              <w:t xml:space="preserve"> par abu līgumu kopējo līgumcenu vismaz 30000 EUR (trīsdesmit tūkstoši euro 00 centi), bez PVN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tabs>
                <w:tab w:val="clear" w:pos="720"/>
                <w:tab w:val="left" w:pos="0" w:leader="none"/>
                <w:tab w:val="left" w:pos="74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Ja piedāvājumu iesniedz piegādātāju apvienība, piedāvājuma dokumentus paraksta atbilstoši piegādātāju savstarpējās vienošanās nosacījumiem. Pretendentam jāiesniedz atlases dokumenti par katru apvienības dalībnieku.</w:t>
            </w:r>
          </w:p>
        </w:tc>
      </w:tr>
      <w:tr>
        <w:trPr>
          <w:trHeight w:val="689" w:hRule="atLeast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</w:tcPr>
          <w:p>
            <w:pPr>
              <w:pStyle w:val="Parastais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Piedāvātā finanšu līgumcena </w:t>
            </w:r>
          </w:p>
          <w:p>
            <w:pPr>
              <w:pStyle w:val="Parastais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(EUR bez PVN)</w:t>
            </w:r>
          </w:p>
        </w:tc>
      </w:tr>
      <w:tr>
        <w:trPr>
          <w:trHeight w:val="633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Style w:val="TableGrid"/>
              <w:tblW w:w="9690" w:type="dxa"/>
              <w:jc w:val="left"/>
              <w:tblInd w:w="-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815"/>
              <w:gridCol w:w="3014"/>
              <w:gridCol w:w="1861"/>
            </w:tblGrid>
            <w:tr>
              <w:trPr/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Parastais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Pretendentu saraksts, reģistrācijas numurs: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6F9D4" w:val="clear"/>
                </w:tcPr>
                <w:p>
                  <w:pPr>
                    <w:pStyle w:val="Ietvarasaturs"/>
                    <w:tabs>
                      <w:tab w:val="clear" w:pos="720"/>
                      <w:tab w:val="left" w:pos="2973" w:leader="none"/>
                    </w:tabs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lv-LV" w:eastAsia="lv-LV"/>
                    </w:rPr>
                    <w:t xml:space="preserve">VAS “Latvijas autoceļu uzturētājs” Liepājas ceļu rajons,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color w:val="auto"/>
                      <w:sz w:val="22"/>
                      <w:szCs w:val="22"/>
                      <w:lang w:val="lv-LV" w:eastAsia="lv-LV"/>
                    </w:rPr>
                    <w:t>reģ. Nr.40003356530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6F9D4" w:val="clear"/>
                </w:tcPr>
                <w:p>
                  <w:pPr>
                    <w:pStyle w:val="Ietvarasaturs"/>
                    <w:tabs>
                      <w:tab w:val="clear" w:pos="720"/>
                      <w:tab w:val="left" w:pos="2973" w:leader="none"/>
                    </w:tabs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SIA “CTB”, 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color w:val="auto"/>
                      <w:sz w:val="22"/>
                      <w:szCs w:val="22"/>
                    </w:rPr>
                    <w:t>reģ. Nr.42103019682</w:t>
                  </w:r>
                </w:p>
              </w:tc>
            </w:tr>
            <w:tr>
              <w:trPr/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Darba nosaukums</w:t>
                  </w:r>
                </w:p>
              </w:tc>
              <w:tc>
                <w:tcPr>
                  <w:tcW w:w="4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Vienības cena EUR bez PVN </w:t>
                  </w:r>
                </w:p>
                <w:p>
                  <w:pPr>
                    <w:pStyle w:val="NoSpacing"/>
                    <w:tabs>
                      <w:tab w:val="clear" w:pos="720"/>
                      <w:tab w:val="left" w:pos="2973" w:leader="none"/>
                    </w:tabs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par 1 (vienu) m</w:t>
                  </w:r>
                  <w:r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 xml:space="preserve">2 </w:t>
                  </w:r>
                  <w:r>
                    <w:rPr>
                      <w:rFonts w:ascii="Times New Roman" w:hAnsi="Times New Roman"/>
                      <w:position w:val="0"/>
                      <w:sz w:val="22"/>
                      <w:sz w:val="22"/>
                      <w:szCs w:val="22"/>
                      <w:vertAlign w:val="baseline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kvadrātmetru)</w:t>
                  </w:r>
                </w:p>
              </w:tc>
            </w:tr>
            <w:tr>
              <w:trPr/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  <w:lang w:eastAsia="ar-SA"/>
                    </w:rPr>
                    <w:t xml:space="preserve">Asfalta (melnā) seguma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bedrīšu aizpildīšana ar šķembām un bitumena emulsiju, izmantojot nepilno tehnoloģiju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18.70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17.60</w:t>
                  </w:r>
                </w:p>
              </w:tc>
            </w:tr>
            <w:tr>
              <w:trPr/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  <w:lang w:eastAsia="ar-SA"/>
                    </w:rPr>
                    <w:t xml:space="preserve">Vienkārtas selektīvā virsmas apstrāde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3.82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2.85</w:t>
                  </w:r>
                </w:p>
              </w:tc>
            </w:tr>
            <w:tr>
              <w:trPr/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  <w:lang w:eastAsia="ar-SA"/>
                    </w:rPr>
                    <w:t xml:space="preserve">Divkārtu selektīvā virsmas apstrāde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7.38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5.50</w:t>
                  </w:r>
                </w:p>
              </w:tc>
            </w:tr>
            <w:tr>
              <w:trPr/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Atsevišķu vietu vienlaidus bedrīšu remonts ar pilno tehnoloģiju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single"/>
                    </w:rPr>
                    <w:t>,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none"/>
                    </w:rPr>
                    <w:t xml:space="preserve"> ieklājot karsto asfaltbetonu ar ieklājēju, vidējais biezums 4 cm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19.33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20.10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89" w:hRule="atLeast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Izslēgtie pretendenti: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47" w:leader="none"/>
              </w:tabs>
              <w:spacing w:lineRule="auto" w:line="240" w:before="0" w:after="0"/>
              <w:ind w:left="720" w:right="93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  <w:lang w:val="lv-LV"/>
              </w:rPr>
              <w:t>Nav.</w:t>
            </w:r>
          </w:p>
        </w:tc>
      </w:tr>
      <w:tr>
        <w:trPr>
          <w:trHeight w:val="689" w:hRule="atLeast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Cs/>
                <w:sz w:val="22"/>
                <w:szCs w:val="22"/>
              </w:rPr>
              <w:t>Iepirkuma līguma izpildē piesaistīts apakšuzņēmējs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47" w:leader="none"/>
              </w:tabs>
              <w:spacing w:lineRule="auto" w:line="240" w:before="0" w:after="0"/>
              <w:ind w:left="720" w:right="93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Nav.</w:t>
            </w:r>
          </w:p>
        </w:tc>
      </w:tr>
      <w:tr>
        <w:trPr>
          <w:trHeight w:val="689" w:hRule="atLeast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Piedāvājuma izvēles kritērijs un vērtēšanas kārtība: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MT" w:cs="Times New Roman" w:ascii="Times New Roman" w:hAnsi="Times New Roman"/>
                <w:b w:val="false"/>
                <w:bCs w:val="false"/>
                <w:iCs/>
                <w:color w:val="000000"/>
                <w:sz w:val="22"/>
                <w:szCs w:val="22"/>
                <w:lang w:eastAsia="lv-LV"/>
              </w:rPr>
              <w:t xml:space="preserve">Pamatojoties uz Publisko iepirkumu likuma 51.pantu, Komisija piešķir līguma slēgšanas tiesības saimnieciski visizdevīgākajam piedāvājumam, ņemot vērā  </w:t>
            </w:r>
            <w:r>
              <w:rPr>
                <w:rStyle w:val="Noklusjumarindkopasfonts1"/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eastAsia="lv-LV"/>
              </w:rPr>
              <w:t>saimnieciski visizdevīgāko piedāvājumu.</w:t>
            </w:r>
            <w:r>
              <w:rPr>
                <w:rStyle w:val="Noklusjumarindkopasfonts1"/>
                <w:rFonts w:eastAsia="ArialMT" w:cs="Times New Roman" w:ascii="Times New Roman" w:hAnsi="Times New Roman"/>
                <w:b w:val="false"/>
                <w:bCs w:val="false"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eastAsia="lv-LV"/>
              </w:rPr>
              <w:t xml:space="preserve">Komisija izvēlas </w:t>
            </w:r>
            <w:r>
              <w:rPr>
                <w:rStyle w:val="Noklusjumarindkopasfonts1"/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eastAsia="lv-LV"/>
              </w:rPr>
              <w:t>saimnieciski visizdevīgāko piedāvājumu</w:t>
            </w:r>
            <w:r>
              <w:rPr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eastAsia="lv-LV"/>
              </w:rPr>
              <w:t xml:space="preserve">, kas atbilst nolikuma un tā pielikumu prasībām, un nav atzīts par nepamatoti lētu. 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/>
                <w:bCs/>
                <w:iCs/>
                <w:color w:val="auto"/>
                <w:sz w:val="22"/>
                <w:szCs w:val="22"/>
                <w:lang w:val="lv-LV" w:eastAsia="lv-LV"/>
              </w:rPr>
              <w:t xml:space="preserve">SIA “CTB”, reģistrācijas Nr.42103019682, 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val="lv-LV" w:eastAsia="lv-LV"/>
              </w:rPr>
              <w:t>ir saimnieciski visizdevīgākais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/>
                <w:bCs/>
                <w:iCs/>
                <w:color w:val="auto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val="lv-LV" w:eastAsia="lv-LV"/>
              </w:rPr>
              <w:t xml:space="preserve">piedāvājums ar 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u w:val="none"/>
                <w:lang w:val="lv-LV" w:eastAsia="lv-LV"/>
              </w:rPr>
              <w:t>k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kern w:val="2"/>
                <w:sz w:val="22"/>
                <w:szCs w:val="22"/>
                <w:u w:val="none"/>
                <w:lang w:val="lv-LV" w:eastAsia="ar-SA"/>
              </w:rPr>
              <w:t>opējo punktu skaitu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/>
                <w:bCs/>
                <w:iCs/>
                <w:color w:val="auto"/>
                <w:kern w:val="2"/>
                <w:sz w:val="22"/>
                <w:szCs w:val="22"/>
                <w:u w:val="single"/>
                <w:lang w:val="lv-LV" w:eastAsia="ar-SA"/>
              </w:rPr>
              <w:t>99,23,</w:t>
            </w:r>
            <w:r>
              <w:rPr>
                <w:rStyle w:val="Noklusjumarindkopasfonts1"/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val="lv-LV" w:eastAsia="lv-LV"/>
              </w:rPr>
              <w:t xml:space="preserve"> atbilst visām iepirkuma nolikumā izvirzītajām prasībām un nav atzīts par nepamatoti lētu. </w:t>
            </w:r>
          </w:p>
        </w:tc>
      </w:tr>
      <w:tr>
        <w:trPr/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Iepirkumu komisijas lēmums:</w:t>
            </w:r>
          </w:p>
        </w:tc>
      </w:tr>
      <w:tr>
        <w:trPr>
          <w:trHeight w:val="719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Piešķirt līguma slēgšanas tiesības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Style w:val="Noklusjumarindkopasfonts1"/>
                <w:rFonts w:eastAsia="Times New Roman" w:cs="Times New Roman" w:ascii="Times New Roman" w:hAnsi="Times New Roman"/>
                <w:b/>
                <w:bCs/>
                <w:color w:val="auto"/>
                <w:sz w:val="22"/>
                <w:szCs w:val="22"/>
                <w:lang w:val="lv-LV" w:eastAsia="lv-LV"/>
              </w:rPr>
              <w:t>SIA “CTB”, reģistrācijas Nr.42103019682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2"/>
                <w:szCs w:val="22"/>
                <w:lang w:val="lv-LV" w:eastAsia="lv-LV"/>
              </w:rPr>
              <w:t>, par līgumcenu: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auto"/>
                <w:sz w:val="22"/>
                <w:szCs w:val="22"/>
                <w:lang w:val="lv-LV" w:eastAsia="lv-LV"/>
              </w:rPr>
            </w:pPr>
            <w:r>
              <w:rPr/>
            </w:r>
          </w:p>
          <w:tbl>
            <w:tblPr>
              <w:tblW w:w="9270" w:type="dxa"/>
              <w:jc w:val="left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85"/>
              <w:gridCol w:w="885"/>
            </w:tblGrid>
            <w:tr>
              <w:trPr>
                <w:trHeight w:val="260" w:hRule="atLeast"/>
              </w:trPr>
              <w:tc>
                <w:tcPr>
                  <w:tcW w:w="9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Vienības cena </w:t>
                  </w:r>
                  <w:r>
                    <w:rPr>
                      <w:rFonts w:eastAsia="Calibri"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EUR bez PVN par 1 (vienu) m</w:t>
                  </w:r>
                  <w:r>
                    <w:rPr>
                      <w:rFonts w:eastAsia="Calibri" w:ascii="Times New Roman" w:hAnsi="Times New Roman"/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val="lv-LV" w:eastAsia="lv-LV"/>
                    </w:rPr>
                    <w:t>2</w:t>
                  </w:r>
                  <w:r>
                    <w:rPr>
                      <w:rFonts w:eastAsia="Calibri"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 xml:space="preserve"> (kvadrātmetru)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  <w:lang w:eastAsia="ar-SA"/>
                    </w:rPr>
                    <w:t xml:space="preserve">Asfalta (melnā) seguma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bedrīšu aizpildīšana ar šķembām un bitumena emulsiju, izmantojot nepilno tehnoloģiju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17.60</w:t>
                  </w:r>
                </w:p>
              </w:tc>
            </w:tr>
            <w:tr>
              <w:trPr>
                <w:trHeight w:val="261" w:hRule="atLeast"/>
              </w:trPr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  <w:lang w:eastAsia="ar-SA"/>
                    </w:rPr>
                    <w:t xml:space="preserve">Vienkārtas selektīvā virsmas apstrāde 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2.85</w:t>
                  </w:r>
                </w:p>
              </w:tc>
            </w:tr>
            <w:tr>
              <w:trPr/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  <w:lang w:eastAsia="ar-SA"/>
                    </w:rPr>
                    <w:t xml:space="preserve">Divkārtu selektīvā virsmas apstrāde 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5.50</w:t>
                  </w:r>
                </w:p>
              </w:tc>
            </w:tr>
            <w:tr>
              <w:trPr/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Atsevišķu vietu vienlaidus bedrīšu remonts ar pilno tehnoloģiju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single"/>
                    </w:rPr>
                    <w:t>,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  <w:u w:val="none"/>
                    </w:rPr>
                    <w:t xml:space="preserve"> ieklājot karsto asfaltbetonu ar ieklājēju, vidējais biezums 4 cm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20.10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Iepirkumu komisijas lēmuma pieņemšanas datums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.2019.</w:t>
            </w:r>
          </w:p>
        </w:tc>
      </w:tr>
      <w:tr>
        <w:trPr>
          <w:trHeight w:val="185" w:hRule="atLeast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Ziņojuma sagatavošanas vieta un laiks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Kjene"/>
              <w:tabs>
                <w:tab w:val="left" w:pos="915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Rucavas novada domē,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.2019.</w:t>
            </w:r>
          </w:p>
        </w:tc>
      </w:tr>
    </w:tbl>
    <w:p>
      <w:pPr>
        <w:pStyle w:val="Parastais"/>
        <w:spacing w:lineRule="auto" w:line="240" w:before="0" w:after="0"/>
        <w:ind w:left="-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rastais"/>
        <w:spacing w:lineRule="auto" w:line="240" w:before="0" w:after="0"/>
        <w:ind w:left="-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Iepirkumu komisijas priekšsēdētāja                                                                     I.Reine</w:t>
      </w:r>
    </w:p>
    <w:p>
      <w:pPr>
        <w:pStyle w:val="Parastais"/>
        <w:spacing w:lineRule="auto" w:line="240" w:before="0" w:after="0"/>
        <w:ind w:left="-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rastais"/>
        <w:spacing w:lineRule="auto" w:line="240" w:before="0" w:after="0"/>
        <w:ind w:left="-426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Ziņojumu sagatavoja</w:t>
      </w:r>
    </w:p>
    <w:p>
      <w:pPr>
        <w:pStyle w:val="Parastais"/>
        <w:spacing w:lineRule="auto" w:line="240" w:before="0" w:after="0"/>
        <w:ind w:left="-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S.Zuļģe</w:t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7784636"/>
    </w:sdtPr>
    <w:sdtContent>
      <w:p>
        <w:pPr>
          <w:pStyle w:val="Kjen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Kjen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4713c"/>
    <w:rPr>
      <w:rFonts w:ascii="Times New Roman" w:hAnsi="Times New Roman" w:eastAsia="Times New Roman" w:cs="Times New Roman"/>
      <w:sz w:val="24"/>
      <w:szCs w:val="24"/>
      <w:lang w:val="x-none" w:eastAsia="lv-LV"/>
    </w:rPr>
  </w:style>
  <w:style w:type="character" w:styleId="Internetasaite">
    <w:name w:val="Interneta saite"/>
    <w:uiPriority w:val="99"/>
    <w:unhideWhenUsed/>
    <w:rsid w:val="00e4713c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12e42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66d37"/>
    <w:rPr>
      <w:rFonts w:ascii="Tahoma" w:hAnsi="Tahoma" w:eastAsia="Times New Roman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qFormat/>
    <w:rsid w:val="004477a3"/>
    <w:rPr>
      <w:rFonts w:ascii="Times New Roman" w:hAnsi="Times New Roman" w:eastAsia="Times New Roman"/>
      <w:sz w:val="28"/>
      <w:lang w:val="x-none" w:eastAsia="en-US"/>
    </w:rPr>
  </w:style>
  <w:style w:type="character" w:styleId="ListParagraphChar" w:customStyle="1">
    <w:name w:val="List Paragraph Char"/>
    <w:link w:val="ListParagraph"/>
    <w:qFormat/>
    <w:rsid w:val="00fb4980"/>
    <w:rPr>
      <w:rFonts w:ascii="Times New Roman" w:hAnsi="Times New Roman" w:eastAsia="Times New Roman"/>
      <w:sz w:val="24"/>
      <w:szCs w:val="24"/>
      <w:lang w:val="en-GB" w:eastAsia="en-US"/>
    </w:rPr>
  </w:style>
  <w:style w:type="character" w:styleId="BodyText3Char" w:customStyle="1">
    <w:name w:val="Body Text 3 Char"/>
    <w:basedOn w:val="DefaultParagraphFont"/>
    <w:link w:val="BodyText3"/>
    <w:qFormat/>
    <w:rsid w:val="001c6f37"/>
    <w:rPr>
      <w:rFonts w:ascii="Times New Roman" w:hAnsi="Times New Roman" w:eastAsia="Times New Roman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1c6f37"/>
    <w:rPr>
      <w:rFonts w:ascii="Times New Roman" w:hAnsi="Times New Roman" w:eastAsia="Times New Roman" w:cs="Arial Unicode MS"/>
      <w:lang w:val="en-US" w:bidi="lo-LA"/>
    </w:rPr>
  </w:style>
  <w:style w:type="character" w:styleId="Vresenkurs">
    <w:name w:val="Vēres enkurs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6f37"/>
    <w:rPr>
      <w:rFonts w:cs="Times New Roman"/>
      <w:vertAlign w:val="superscript"/>
    </w:rPr>
  </w:style>
  <w:style w:type="character" w:styleId="TitleChar" w:customStyle="1">
    <w:name w:val="Title Char"/>
    <w:basedOn w:val="DefaultParagraphFont"/>
    <w:link w:val="Title"/>
    <w:qFormat/>
    <w:rsid w:val="00d56364"/>
    <w:rPr>
      <w:rFonts w:ascii="Times New Roman" w:hAnsi="Times New Roman" w:eastAsia="Times New Roman"/>
      <w:b/>
      <w:color w:val="000000"/>
      <w:sz w:val="28"/>
      <w:szCs w:val="2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  <w:bCs/>
      <w:color w:val="auto"/>
      <w:sz w:val="24"/>
      <w:szCs w:val="24"/>
    </w:rPr>
  </w:style>
  <w:style w:type="character" w:styleId="ListLabel12">
    <w:name w:val="ListLabel 12"/>
    <w:qFormat/>
    <w:rPr>
      <w:rFonts w:cs="Times New Roman"/>
      <w:b w:val="false"/>
      <w:i w:val="false"/>
      <w:color w:val="000000"/>
      <w:sz w:val="24"/>
      <w:szCs w:val="2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 w:val="false"/>
      <w:color w:val="auto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b/>
      <w:color w:val="auto"/>
      <w:sz w:val="22"/>
      <w:szCs w:val="22"/>
    </w:rPr>
  </w:style>
  <w:style w:type="character" w:styleId="ListLabel24">
    <w:name w:val="ListLabel 24"/>
    <w:qFormat/>
    <w:rPr>
      <w:b w:val="false"/>
      <w:i w:val="false"/>
      <w:color w:val="000000"/>
      <w:sz w:val="22"/>
      <w:szCs w:val="22"/>
    </w:rPr>
  </w:style>
  <w:style w:type="character" w:styleId="ListLabel25">
    <w:name w:val="ListLabel 25"/>
    <w:qFormat/>
    <w:rPr>
      <w:i w:val="false"/>
    </w:rPr>
  </w:style>
  <w:style w:type="character" w:styleId="ListLabel26">
    <w:name w:val="ListLabel 26"/>
    <w:qFormat/>
    <w:rPr>
      <w:b/>
    </w:rPr>
  </w:style>
  <w:style w:type="character" w:styleId="Noklusjumarindkopasfonts1">
    <w:name w:val="Noklusējuma rindkopas fonts1"/>
    <w:qFormat/>
    <w:rPr/>
  </w:style>
  <w:style w:type="character" w:styleId="ListLabel921">
    <w:name w:val="ListLabel 921"/>
    <w:qFormat/>
    <w:rPr>
      <w:rFonts w:eastAsia="Helvetica;Arial" w:cs="Times New Roman"/>
      <w:color w:val="auto"/>
      <w:sz w:val="24"/>
      <w:szCs w:val="24"/>
      <w:u w:val="none"/>
      <w:lang w:eastAsia="ar-SA"/>
    </w:rPr>
  </w:style>
  <w:style w:type="character" w:styleId="ListLabel922">
    <w:name w:val="ListLabel 922"/>
    <w:qFormat/>
    <w:rPr>
      <w:rFonts w:ascii="Times New Roman" w:hAnsi="Times New Roman" w:eastAsia="Helvetica;Arial" w:cs="Times New Roman"/>
      <w:bCs/>
      <w:color w:val="auto"/>
      <w:sz w:val="24"/>
      <w:szCs w:val="24"/>
      <w:u w:val="none"/>
      <w:lang w:eastAsia="ar-SA"/>
    </w:rPr>
  </w:style>
  <w:style w:type="character" w:styleId="ListLabel923">
    <w:name w:val="ListLabel 923"/>
    <w:qFormat/>
    <w:rPr>
      <w:rFonts w:ascii="Times New Roman" w:hAnsi="Times New Roman" w:eastAsia="Helvetica;Arial" w:cs="Times New Roman"/>
      <w:bCs/>
      <w:color w:val="auto"/>
      <w:sz w:val="24"/>
      <w:szCs w:val="24"/>
      <w:u w:val="none"/>
      <w:lang w:eastAsia="ar-SA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link w:val="BodyTextChar"/>
    <w:rsid w:val="004477a3"/>
    <w:pPr>
      <w:jc w:val="both"/>
    </w:pPr>
    <w:rPr>
      <w:rFonts w:ascii="Times New Roman" w:hAnsi="Times New Roman" w:eastAsia="Times New Roman"/>
      <w:sz w:val="28"/>
      <w:lang w:val="x-none" w:eastAsia="en-US"/>
    </w:rPr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Parastais" w:customStyle="1">
    <w:name w:val="Parastais"/>
    <w:qFormat/>
    <w:rsid w:val="00e471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lv-LV" w:bidi="ar-SA"/>
    </w:rPr>
  </w:style>
  <w:style w:type="paragraph" w:styleId="Kjene">
    <w:name w:val="Footer"/>
    <w:basedOn w:val="Parastais"/>
    <w:link w:val="FooterChar"/>
    <w:uiPriority w:val="99"/>
    <w:rsid w:val="00e4713c"/>
    <w:pPr>
      <w:tabs>
        <w:tab w:val="clear" w:pos="720"/>
        <w:tab w:val="center" w:pos="4153" w:leader="none"/>
        <w:tab w:val="right" w:pos="8306" w:leader="none"/>
      </w:tabs>
    </w:pPr>
    <w:rPr>
      <w:lang w:val="x-none"/>
    </w:rPr>
  </w:style>
  <w:style w:type="paragraph" w:styleId="NoSpacing">
    <w:name w:val="No Spacing"/>
    <w:qFormat/>
    <w:rsid w:val="00e4713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ar-SA" w:bidi="ar-SA"/>
    </w:rPr>
  </w:style>
  <w:style w:type="paragraph" w:styleId="ListParagraph">
    <w:name w:val="List Paragraph"/>
    <w:basedOn w:val="Parastais"/>
    <w:link w:val="ListParagraphChar"/>
    <w:qFormat/>
    <w:rsid w:val="00e4713c"/>
    <w:pPr>
      <w:spacing w:before="0" w:after="0"/>
      <w:ind w:left="720" w:hanging="0"/>
      <w:contextualSpacing/>
    </w:pPr>
    <w:rPr>
      <w:lang w:val="en-GB" w:eastAsia="en-US"/>
    </w:rPr>
  </w:style>
  <w:style w:type="paragraph" w:styleId="Normal1" w:customStyle="1">
    <w:name w:val="Normal1"/>
    <w:qFormat/>
    <w:rsid w:val="00e4713c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Parasts1" w:customStyle="1">
    <w:name w:val="Parasts1"/>
    <w:qFormat/>
    <w:rsid w:val="00e4713c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Galvene">
    <w:name w:val="Header"/>
    <w:basedOn w:val="Parastais"/>
    <w:link w:val="HeaderChar"/>
    <w:uiPriority w:val="99"/>
    <w:unhideWhenUsed/>
    <w:rsid w:val="00d12e4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Parastais"/>
    <w:link w:val="BalloonTextChar"/>
    <w:uiPriority w:val="99"/>
    <w:semiHidden/>
    <w:unhideWhenUsed/>
    <w:qFormat/>
    <w:rsid w:val="00766d37"/>
    <w:pPr/>
    <w:rPr>
      <w:rFonts w:ascii="Tahoma" w:hAnsi="Tahoma" w:cs="Tahoma"/>
      <w:sz w:val="16"/>
      <w:szCs w:val="16"/>
    </w:rPr>
  </w:style>
  <w:style w:type="paragraph" w:styleId="Paragrfs" w:customStyle="1">
    <w:name w:val="Paragrāfs"/>
    <w:basedOn w:val="Normal"/>
    <w:next w:val="Normal"/>
    <w:qFormat/>
    <w:rsid w:val="004477a3"/>
    <w:pPr>
      <w:suppressAutoHyphens w:val="true"/>
      <w:jc w:val="both"/>
    </w:pPr>
    <w:rPr>
      <w:rFonts w:ascii="Arial" w:hAnsi="Arial" w:eastAsia="Times New Roman"/>
      <w:szCs w:val="24"/>
      <w:lang w:eastAsia="ar-SA"/>
    </w:rPr>
  </w:style>
  <w:style w:type="paragraph" w:styleId="BodyText3">
    <w:name w:val="Body Text 3"/>
    <w:basedOn w:val="Normal"/>
    <w:link w:val="BodyText3Char"/>
    <w:qFormat/>
    <w:rsid w:val="001c6f37"/>
    <w:pPr>
      <w:spacing w:before="0" w:after="120"/>
    </w:pPr>
    <w:rPr>
      <w:rFonts w:ascii="Times New Roman" w:hAnsi="Times New Roman" w:eastAsia="Times New Roman"/>
      <w:sz w:val="16"/>
      <w:szCs w:val="16"/>
    </w:rPr>
  </w:style>
  <w:style w:type="paragraph" w:styleId="Vre">
    <w:name w:val="Footnote Text"/>
    <w:basedOn w:val="Normal"/>
    <w:link w:val="FootnoteTextChar"/>
    <w:uiPriority w:val="99"/>
    <w:rsid w:val="001c6f37"/>
    <w:pPr/>
    <w:rPr>
      <w:rFonts w:ascii="Times New Roman" w:hAnsi="Times New Roman" w:eastAsia="Times New Roman" w:cs="Arial Unicode MS"/>
      <w:lang w:val="en-US" w:bidi="lo-LA"/>
    </w:rPr>
  </w:style>
  <w:style w:type="paragraph" w:styleId="Nosaukums">
    <w:name w:val="Title"/>
    <w:basedOn w:val="Normal"/>
    <w:next w:val="Normal"/>
    <w:link w:val="TitleChar"/>
    <w:qFormat/>
    <w:rsid w:val="00d56364"/>
    <w:pPr>
      <w:keepNext w:val="true"/>
      <w:keepLines/>
      <w:jc w:val="center"/>
    </w:pPr>
    <w:rPr>
      <w:rFonts w:ascii="Times New Roman" w:hAnsi="Times New Roman" w:eastAsia="Times New Roman"/>
      <w:b/>
      <w:color w:val="000000"/>
      <w:sz w:val="28"/>
      <w:szCs w:val="28"/>
    </w:rPr>
  </w:style>
  <w:style w:type="paragraph" w:styleId="Ietvarasaturs">
    <w:name w:val="Ietvara satur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658-23EA-41B5-B515-E71B8EB1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LibreOffice/6.1.4.2$Windows_X86_64 LibreOffice_project/9d0f32d1f0b509096fd65e0d4bec26ddd1938fd3</Application>
  <Pages>2</Pages>
  <Words>628</Words>
  <Characters>4533</Characters>
  <CharactersWithSpaces>5173</CharactersWithSpaces>
  <Paragraphs>82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2018-10-11T10:15:00Z</dcterms:created>
  <dc:creator>bmillere</dc:creator>
  <dc:description/>
  <dc:language>lv-LV</dc:language>
  <cp:lastModifiedBy/>
  <cp:lastPrinted>2019-06-19T16:28:53Z</cp:lastPrinted>
  <dcterms:modified xsi:type="dcterms:W3CDTF">2019-06-19T16:28:45Z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